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1"/>
        <w:tblW w:w="10418"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58"/>
        <w:gridCol w:w="260"/>
      </w:tblGrid>
      <w:tr w:rsidR="00A63918" w14:paraId="3B3A8FA7" w14:textId="77777777" w:rsidTr="00112C64">
        <w:tc>
          <w:tcPr>
            <w:tcW w:w="10158" w:type="dxa"/>
          </w:tcPr>
          <w:tbl>
            <w:tblPr>
              <w:tblStyle w:val="Grilledutableau1"/>
              <w:tblW w:w="994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3"/>
              <w:gridCol w:w="2930"/>
              <w:gridCol w:w="3729"/>
            </w:tblGrid>
            <w:tr w:rsidR="00A63918" w14:paraId="0EA08B42" w14:textId="77777777" w:rsidTr="00112C64">
              <w:trPr>
                <w:jc w:val="right"/>
              </w:trPr>
              <w:tc>
                <w:tcPr>
                  <w:tcW w:w="3336" w:type="dxa"/>
                  <w:vAlign w:val="center"/>
                </w:tcPr>
                <w:p w14:paraId="13120C5E" w14:textId="77777777" w:rsidR="00A63918" w:rsidRDefault="00A63918" w:rsidP="00112C64">
                  <w:pPr>
                    <w:ind w:left="-228"/>
                    <w:rPr>
                      <w:rFonts w:ascii="Arial" w:hAnsi="Arial" w:cs="Arial"/>
                    </w:rPr>
                  </w:pPr>
                  <w:r w:rsidRPr="00D24990">
                    <w:rPr>
                      <w:noProof/>
                    </w:rPr>
                    <w:drawing>
                      <wp:inline distT="0" distB="0" distL="0" distR="0" wp14:anchorId="50A5C62C" wp14:editId="4A06FC9A">
                        <wp:extent cx="1979274" cy="438150"/>
                        <wp:effectExtent l="0" t="0" r="2540" b="0"/>
                        <wp:docPr id="27" name="Image 27" descr="Une image contenant capture d’écran, Bleu électrique, Police, Bleu Majorel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 27" descr="Une image contenant capture d’écran, Bleu électrique, Police, Bleu Majorelle&#10;&#10;Description générée automatiquement"/>
                                <pic:cNvPicPr/>
                              </pic:nvPicPr>
                              <pic:blipFill rotWithShape="1">
                                <a:blip r:embed="rId7" cstate="print">
                                  <a:extLst>
                                    <a:ext uri="{28A0092B-C50C-407E-A947-70E740481C1C}">
                                      <a14:useLocalDpi xmlns:a14="http://schemas.microsoft.com/office/drawing/2010/main" val="0"/>
                                    </a:ext>
                                  </a:extLst>
                                </a:blip>
                                <a:srcRect/>
                                <a:stretch/>
                              </pic:blipFill>
                              <pic:spPr bwMode="auto">
                                <a:xfrm>
                                  <a:off x="0" y="0"/>
                                  <a:ext cx="2041623" cy="451952"/>
                                </a:xfrm>
                                <a:prstGeom prst="rect">
                                  <a:avLst/>
                                </a:prstGeom>
                                <a:ln>
                                  <a:noFill/>
                                </a:ln>
                                <a:extLst>
                                  <a:ext uri="{53640926-AAD7-44D8-BBD7-CCE9431645EC}">
                                    <a14:shadowObscured xmlns:a14="http://schemas.microsoft.com/office/drawing/2010/main"/>
                                  </a:ext>
                                </a:extLst>
                              </pic:spPr>
                            </pic:pic>
                          </a:graphicData>
                        </a:graphic>
                      </wp:inline>
                    </w:drawing>
                  </w:r>
                </w:p>
              </w:tc>
              <w:tc>
                <w:tcPr>
                  <w:tcW w:w="2692" w:type="dxa"/>
                </w:tcPr>
                <w:p w14:paraId="36712E04" w14:textId="77777777" w:rsidR="00A63918" w:rsidRDefault="00A63918" w:rsidP="00112C64">
                  <w:pPr>
                    <w:rPr>
                      <w:rFonts w:ascii="Arial" w:hAnsi="Arial" w:cs="Arial"/>
                    </w:rPr>
                  </w:pPr>
                  <w:r w:rsidRPr="00FA0753">
                    <w:rPr>
                      <w:rFonts w:eastAsia="Calibri"/>
                      <w:noProof/>
                    </w:rPr>
                    <w:drawing>
                      <wp:inline distT="0" distB="0" distL="0" distR="0" wp14:anchorId="43A96FB4" wp14:editId="562F257B">
                        <wp:extent cx="1723719" cy="537845"/>
                        <wp:effectExtent l="0" t="0" r="0" b="0"/>
                        <wp:docPr id="28" name="Image 28" descr="Une image contenant Police, logo, Graphique,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 28" descr="Une image contenant Police, logo, Graphique, symbole&#10;&#10;Description générée automatiquement"/>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1807397" cy="56395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914" w:type="dxa"/>
                  <w:vAlign w:val="center"/>
                </w:tcPr>
                <w:p w14:paraId="2EFF2E50" w14:textId="77777777" w:rsidR="00A63918" w:rsidRDefault="00A63918" w:rsidP="00112C64">
                  <w:pPr>
                    <w:tabs>
                      <w:tab w:val="left" w:pos="9923"/>
                    </w:tabs>
                    <w:jc w:val="right"/>
                    <w:rPr>
                      <w:rFonts w:ascii="Arial" w:hAnsi="Arial" w:cs="Arial"/>
                    </w:rPr>
                  </w:pPr>
                  <w:r>
                    <w:rPr>
                      <w:noProof/>
                    </w:rPr>
                    <w:drawing>
                      <wp:inline distT="0" distB="0" distL="0" distR="0" wp14:anchorId="69BDCF66" wp14:editId="2B99E585">
                        <wp:extent cx="1851347" cy="352425"/>
                        <wp:effectExtent l="0" t="0" r="0" b="0"/>
                        <wp:docPr id="29" name="Image 29" descr="Une image contenant Police, Graphique, capture d’écran,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Graphique, capture d’écran, cercle&#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95024" cy="360739"/>
                                </a:xfrm>
                                <a:prstGeom prst="rect">
                                  <a:avLst/>
                                </a:prstGeom>
                              </pic:spPr>
                            </pic:pic>
                          </a:graphicData>
                        </a:graphic>
                      </wp:inline>
                    </w:drawing>
                  </w:r>
                </w:p>
              </w:tc>
            </w:tr>
          </w:tbl>
          <w:p w14:paraId="400B0E6F" w14:textId="77777777" w:rsidR="00A63918" w:rsidRDefault="00A63918" w:rsidP="00112C64">
            <w:pPr>
              <w:pStyle w:val="En-tte"/>
            </w:pPr>
          </w:p>
        </w:tc>
        <w:tc>
          <w:tcPr>
            <w:tcW w:w="260" w:type="dxa"/>
          </w:tcPr>
          <w:p w14:paraId="03359FA8" w14:textId="77777777" w:rsidR="00A63918" w:rsidRDefault="00A63918" w:rsidP="00112C64">
            <w:pPr>
              <w:pStyle w:val="En-tte"/>
            </w:pPr>
          </w:p>
        </w:tc>
      </w:tr>
    </w:tbl>
    <w:tbl>
      <w:tblPr>
        <w:tblStyle w:val="Grilledutableau"/>
        <w:tblW w:w="11341" w:type="dxa"/>
        <w:tblInd w:w="-1140" w:type="dxa"/>
        <w:tblLayout w:type="fixed"/>
        <w:tblLook w:val="04A0" w:firstRow="1" w:lastRow="0" w:firstColumn="1" w:lastColumn="0" w:noHBand="0" w:noVBand="1"/>
      </w:tblPr>
      <w:tblGrid>
        <w:gridCol w:w="2133"/>
        <w:gridCol w:w="1559"/>
        <w:gridCol w:w="849"/>
        <w:gridCol w:w="1984"/>
        <w:gridCol w:w="4392"/>
        <w:gridCol w:w="15"/>
        <w:gridCol w:w="409"/>
      </w:tblGrid>
      <w:tr w:rsidR="002256CD" w:rsidRPr="002256CD" w14:paraId="7CB220EB" w14:textId="77777777" w:rsidTr="006F3D47">
        <w:tc>
          <w:tcPr>
            <w:tcW w:w="11341" w:type="dxa"/>
            <w:gridSpan w:val="7"/>
            <w:tcBorders>
              <w:top w:val="nil"/>
              <w:left w:val="nil"/>
              <w:bottom w:val="single" w:sz="4" w:space="0" w:color="auto"/>
              <w:right w:val="nil"/>
            </w:tcBorders>
          </w:tcPr>
          <w:p w14:paraId="289699FF" w14:textId="12644438" w:rsidR="006002A6" w:rsidRDefault="00026BDB" w:rsidP="00026BDB">
            <w:pPr>
              <w:keepNext/>
              <w:keepLines/>
              <w:spacing w:before="240"/>
              <w:ind w:left="1319" w:right="1873"/>
              <w:jc w:val="center"/>
              <w:outlineLvl w:val="0"/>
              <w:rPr>
                <w:rFonts w:ascii="Arial Black" w:eastAsiaTheme="majorEastAsia" w:hAnsi="Arial Black" w:cstheme="majorBidi"/>
                <w:sz w:val="32"/>
                <w:szCs w:val="32"/>
              </w:rPr>
            </w:pPr>
            <w:bookmarkStart w:id="0" w:name="_Toc121146267"/>
            <w:bookmarkStart w:id="1" w:name="_Toc121146714"/>
            <w:bookmarkStart w:id="2" w:name="_Toc121146867"/>
            <w:bookmarkStart w:id="3" w:name="_Toc121147416"/>
            <w:bookmarkStart w:id="4" w:name="_Toc121148038"/>
            <w:bookmarkStart w:id="5" w:name="_Toc121148459"/>
            <w:bookmarkStart w:id="6" w:name="_Toc121151077"/>
            <w:bookmarkStart w:id="7" w:name="_Toc121153258"/>
            <w:r>
              <w:rPr>
                <w:rFonts w:ascii="Arial Black" w:eastAsiaTheme="majorEastAsia" w:hAnsi="Arial Black" w:cstheme="majorBidi"/>
                <w:b/>
                <w:bCs/>
                <w:sz w:val="32"/>
                <w:szCs w:val="32"/>
                <w:u w:val="single"/>
              </w:rPr>
              <w:t>Annexe 3</w:t>
            </w:r>
            <w:r w:rsidR="00A94898">
              <w:rPr>
                <w:rFonts w:ascii="Arial Black" w:eastAsiaTheme="majorEastAsia" w:hAnsi="Arial Black" w:cstheme="majorBidi"/>
                <w:b/>
                <w:bCs/>
                <w:sz w:val="32"/>
                <w:szCs w:val="32"/>
                <w:u w:val="single"/>
              </w:rPr>
              <w:t xml:space="preserve"> a</w:t>
            </w:r>
            <w:r>
              <w:rPr>
                <w:rFonts w:ascii="Arial Black" w:eastAsiaTheme="majorEastAsia" w:hAnsi="Arial Black" w:cstheme="majorBidi"/>
                <w:b/>
                <w:bCs/>
                <w:sz w:val="32"/>
                <w:szCs w:val="32"/>
                <w:u w:val="single"/>
              </w:rPr>
              <w:t xml:space="preserve"> : </w:t>
            </w:r>
            <w:r w:rsidR="002256CD" w:rsidRPr="00DA70F3">
              <w:rPr>
                <w:rFonts w:ascii="Arial Black" w:eastAsiaTheme="majorEastAsia" w:hAnsi="Arial Black" w:cstheme="majorBidi"/>
                <w:b/>
                <w:bCs/>
                <w:sz w:val="32"/>
                <w:szCs w:val="32"/>
                <w:u w:val="single"/>
              </w:rPr>
              <w:t xml:space="preserve">Fiche action </w:t>
            </w:r>
            <w:r w:rsidR="006002A6">
              <w:rPr>
                <w:rFonts w:ascii="Arial Black" w:eastAsiaTheme="majorEastAsia" w:hAnsi="Arial Black" w:cstheme="majorBidi"/>
                <w:b/>
                <w:bCs/>
                <w:sz w:val="32"/>
                <w:szCs w:val="32"/>
                <w:u w:val="single"/>
              </w:rPr>
              <w:t xml:space="preserve">4.4.1 </w:t>
            </w:r>
            <w:r w:rsidR="00C0606D">
              <w:rPr>
                <w:rFonts w:ascii="Arial Black" w:eastAsiaTheme="majorEastAsia" w:hAnsi="Arial Black" w:cstheme="majorBidi"/>
                <w:b/>
                <w:bCs/>
                <w:sz w:val="32"/>
                <w:szCs w:val="32"/>
                <w:u w:val="single"/>
              </w:rPr>
              <w:t>« Accompagnement à l’</w:t>
            </w:r>
            <w:r w:rsidR="0063153C">
              <w:rPr>
                <w:rFonts w:ascii="Arial Black" w:eastAsiaTheme="majorEastAsia" w:hAnsi="Arial Black" w:cstheme="majorBidi"/>
                <w:b/>
                <w:bCs/>
                <w:sz w:val="32"/>
                <w:szCs w:val="32"/>
                <w:u w:val="single"/>
              </w:rPr>
              <w:t>entreprenariat</w:t>
            </w:r>
            <w:r w:rsidR="00C0606D" w:rsidRPr="00C0606D">
              <w:rPr>
                <w:rFonts w:ascii="Arial Black" w:eastAsiaTheme="majorEastAsia" w:hAnsi="Arial Black" w:cstheme="majorBidi"/>
                <w:b/>
                <w:bCs/>
                <w:sz w:val="32"/>
                <w:szCs w:val="32"/>
                <w:u w:val="single"/>
              </w:rPr>
              <w:t> </w:t>
            </w:r>
            <w:r w:rsidR="00C0606D" w:rsidRPr="00C0606D">
              <w:rPr>
                <w:rFonts w:ascii="Arial Black" w:eastAsiaTheme="majorEastAsia" w:hAnsi="Arial Black" w:cstheme="majorBidi"/>
                <w:sz w:val="32"/>
                <w:szCs w:val="32"/>
              </w:rPr>
              <w:t>»</w:t>
            </w:r>
            <w:bookmarkEnd w:id="0"/>
            <w:bookmarkEnd w:id="1"/>
            <w:bookmarkEnd w:id="2"/>
            <w:bookmarkEnd w:id="3"/>
            <w:bookmarkEnd w:id="4"/>
            <w:bookmarkEnd w:id="5"/>
            <w:bookmarkEnd w:id="6"/>
            <w:bookmarkEnd w:id="7"/>
          </w:p>
          <w:p w14:paraId="10790233" w14:textId="20639D4F" w:rsidR="002256CD" w:rsidRDefault="00C0606D" w:rsidP="00026BDB">
            <w:pPr>
              <w:keepNext/>
              <w:keepLines/>
              <w:spacing w:before="240"/>
              <w:ind w:left="1319" w:right="1873"/>
              <w:jc w:val="center"/>
              <w:outlineLvl w:val="0"/>
              <w:rPr>
                <w:rFonts w:ascii="Arial Black" w:eastAsiaTheme="majorEastAsia" w:hAnsi="Arial Black" w:cstheme="majorBidi"/>
                <w:sz w:val="20"/>
                <w:szCs w:val="20"/>
              </w:rPr>
            </w:pPr>
            <w:proofErr w:type="gramStart"/>
            <w:r w:rsidRPr="004F08D3">
              <w:rPr>
                <w:rFonts w:ascii="Arial Black" w:eastAsiaTheme="majorEastAsia" w:hAnsi="Arial Black" w:cstheme="majorBidi"/>
              </w:rPr>
              <w:t>du</w:t>
            </w:r>
            <w:proofErr w:type="gramEnd"/>
            <w:r w:rsidRPr="004F08D3">
              <w:rPr>
                <w:rFonts w:ascii="Arial Black" w:eastAsiaTheme="majorEastAsia" w:hAnsi="Arial Black" w:cstheme="majorBidi"/>
              </w:rPr>
              <w:t xml:space="preserve"> guide méthodologique de mise en œuvre du Programme régional FED</w:t>
            </w:r>
            <w:r w:rsidR="00992E13" w:rsidRPr="004F08D3">
              <w:rPr>
                <w:rFonts w:ascii="Arial Black" w:eastAsiaTheme="majorEastAsia" w:hAnsi="Arial Black" w:cstheme="majorBidi"/>
              </w:rPr>
              <w:t>E</w:t>
            </w:r>
            <w:r w:rsidRPr="004F08D3">
              <w:rPr>
                <w:rFonts w:ascii="Arial Black" w:eastAsiaTheme="majorEastAsia" w:hAnsi="Arial Black" w:cstheme="majorBidi"/>
              </w:rPr>
              <w:t>R-FSE+ 2021-2027</w:t>
            </w:r>
          </w:p>
          <w:p w14:paraId="4C29DA8D" w14:textId="735B89CE" w:rsidR="00C0606D" w:rsidRPr="00C0606D" w:rsidRDefault="00C0606D" w:rsidP="00C0606D">
            <w:pPr>
              <w:keepNext/>
              <w:keepLines/>
              <w:jc w:val="center"/>
              <w:outlineLvl w:val="0"/>
              <w:rPr>
                <w:rFonts w:ascii="Arial Black" w:eastAsiaTheme="majorEastAsia" w:hAnsi="Arial Black" w:cstheme="majorBidi"/>
                <w:b/>
                <w:bCs/>
                <w:color w:val="2F5496" w:themeColor="accent1" w:themeShade="BF"/>
                <w:sz w:val="16"/>
                <w:szCs w:val="16"/>
                <w:u w:val="single"/>
              </w:rPr>
            </w:pPr>
          </w:p>
        </w:tc>
      </w:tr>
      <w:tr w:rsidR="002256CD" w:rsidRPr="002256CD" w14:paraId="46C1DC10" w14:textId="77777777" w:rsidTr="006002A6">
        <w:trPr>
          <w:gridAfter w:val="2"/>
          <w:wAfter w:w="424" w:type="dxa"/>
        </w:trPr>
        <w:tc>
          <w:tcPr>
            <w:tcW w:w="2133" w:type="dxa"/>
            <w:tcBorders>
              <w:top w:val="single" w:sz="4" w:space="0" w:color="auto"/>
            </w:tcBorders>
            <w:vAlign w:val="center"/>
          </w:tcPr>
          <w:p w14:paraId="58A5E56F" w14:textId="77777777" w:rsidR="002256CD" w:rsidRPr="002256CD" w:rsidRDefault="002256CD" w:rsidP="002256CD">
            <w:pPr>
              <w:spacing w:line="276" w:lineRule="auto"/>
              <w:jc w:val="center"/>
              <w:rPr>
                <w:b/>
                <w:bCs/>
                <w:sz w:val="20"/>
                <w:szCs w:val="20"/>
              </w:rPr>
            </w:pPr>
            <w:r w:rsidRPr="002256CD">
              <w:rPr>
                <w:b/>
                <w:bCs/>
                <w:sz w:val="20"/>
                <w:szCs w:val="20"/>
              </w:rPr>
              <w:t>Fonds</w:t>
            </w:r>
          </w:p>
        </w:tc>
        <w:tc>
          <w:tcPr>
            <w:tcW w:w="8784" w:type="dxa"/>
            <w:gridSpan w:val="4"/>
            <w:tcBorders>
              <w:top w:val="single" w:sz="4" w:space="0" w:color="auto"/>
            </w:tcBorders>
            <w:vAlign w:val="center"/>
          </w:tcPr>
          <w:p w14:paraId="6F5FBC25" w14:textId="77777777" w:rsidR="002256CD" w:rsidRPr="002256CD" w:rsidRDefault="002256CD" w:rsidP="002256CD">
            <w:pPr>
              <w:spacing w:line="276" w:lineRule="auto"/>
              <w:rPr>
                <w:b/>
                <w:bCs/>
                <w:sz w:val="20"/>
                <w:szCs w:val="20"/>
              </w:rPr>
            </w:pPr>
            <w:r w:rsidRPr="002256CD">
              <w:rPr>
                <w:b/>
                <w:bCs/>
                <w:sz w:val="20"/>
                <w:szCs w:val="20"/>
              </w:rPr>
              <w:t>FSE+</w:t>
            </w:r>
          </w:p>
        </w:tc>
      </w:tr>
      <w:tr w:rsidR="002256CD" w:rsidRPr="002256CD" w14:paraId="4091A991" w14:textId="77777777" w:rsidTr="006002A6">
        <w:trPr>
          <w:gridAfter w:val="2"/>
          <w:wAfter w:w="424" w:type="dxa"/>
        </w:trPr>
        <w:tc>
          <w:tcPr>
            <w:tcW w:w="2133" w:type="dxa"/>
            <w:tcBorders>
              <w:top w:val="single" w:sz="4" w:space="0" w:color="auto"/>
            </w:tcBorders>
            <w:vAlign w:val="center"/>
          </w:tcPr>
          <w:p w14:paraId="16243F23" w14:textId="77777777" w:rsidR="002256CD" w:rsidRPr="002256CD" w:rsidRDefault="002256CD" w:rsidP="002256CD">
            <w:pPr>
              <w:spacing w:line="276" w:lineRule="auto"/>
              <w:jc w:val="center"/>
              <w:rPr>
                <w:b/>
                <w:bCs/>
                <w:sz w:val="20"/>
                <w:szCs w:val="20"/>
              </w:rPr>
            </w:pPr>
            <w:r w:rsidRPr="002256CD">
              <w:rPr>
                <w:b/>
                <w:bCs/>
                <w:sz w:val="20"/>
                <w:szCs w:val="20"/>
              </w:rPr>
              <w:t>Priorité 4</w:t>
            </w:r>
          </w:p>
        </w:tc>
        <w:tc>
          <w:tcPr>
            <w:tcW w:w="8784" w:type="dxa"/>
            <w:gridSpan w:val="4"/>
            <w:tcBorders>
              <w:top w:val="single" w:sz="4" w:space="0" w:color="auto"/>
            </w:tcBorders>
          </w:tcPr>
          <w:p w14:paraId="0796D5B8" w14:textId="77777777" w:rsidR="002256CD" w:rsidRPr="002256CD" w:rsidRDefault="002256CD" w:rsidP="002256CD">
            <w:pPr>
              <w:spacing w:line="276" w:lineRule="auto"/>
              <w:jc w:val="both"/>
              <w:rPr>
                <w:sz w:val="20"/>
                <w:szCs w:val="20"/>
              </w:rPr>
            </w:pPr>
            <w:r w:rsidRPr="002256CD">
              <w:rPr>
                <w:sz w:val="20"/>
                <w:szCs w:val="20"/>
              </w:rPr>
              <w:t>Soutenir la création d'activité, la formation professionnelle et la lutte contre le décrochage scolaire en Île-de-France.</w:t>
            </w:r>
          </w:p>
        </w:tc>
      </w:tr>
      <w:tr w:rsidR="002256CD" w:rsidRPr="002256CD" w14:paraId="0744F64A" w14:textId="77777777" w:rsidTr="006002A6">
        <w:trPr>
          <w:gridAfter w:val="2"/>
          <w:wAfter w:w="424" w:type="dxa"/>
        </w:trPr>
        <w:tc>
          <w:tcPr>
            <w:tcW w:w="2133" w:type="dxa"/>
            <w:tcBorders>
              <w:top w:val="single" w:sz="4" w:space="0" w:color="auto"/>
            </w:tcBorders>
            <w:vAlign w:val="center"/>
          </w:tcPr>
          <w:p w14:paraId="2F230295" w14:textId="77777777" w:rsidR="002256CD" w:rsidRPr="002256CD" w:rsidRDefault="002256CD" w:rsidP="002256CD">
            <w:pPr>
              <w:keepNext/>
              <w:keepLines/>
              <w:spacing w:before="40" w:line="276" w:lineRule="auto"/>
              <w:jc w:val="center"/>
              <w:outlineLvl w:val="1"/>
              <w:rPr>
                <w:rFonts w:eastAsiaTheme="majorEastAsia"/>
                <w:b/>
                <w:bCs/>
                <w:sz w:val="20"/>
                <w:szCs w:val="20"/>
              </w:rPr>
            </w:pPr>
            <w:bookmarkStart w:id="8" w:name="_Toc121147417"/>
            <w:bookmarkStart w:id="9" w:name="_Toc121148039"/>
            <w:bookmarkStart w:id="10" w:name="_Toc121148460"/>
            <w:bookmarkStart w:id="11" w:name="_Toc121151078"/>
            <w:bookmarkStart w:id="12" w:name="_Toc121153259"/>
            <w:r w:rsidRPr="002256CD">
              <w:rPr>
                <w:rFonts w:eastAsiaTheme="majorEastAsia"/>
                <w:b/>
                <w:bCs/>
                <w:sz w:val="20"/>
                <w:szCs w:val="20"/>
              </w:rPr>
              <w:t>Objectif spécifique 4.1</w:t>
            </w:r>
            <w:bookmarkEnd w:id="8"/>
            <w:bookmarkEnd w:id="9"/>
            <w:bookmarkEnd w:id="10"/>
            <w:bookmarkEnd w:id="11"/>
            <w:bookmarkEnd w:id="12"/>
          </w:p>
        </w:tc>
        <w:tc>
          <w:tcPr>
            <w:tcW w:w="8784" w:type="dxa"/>
            <w:gridSpan w:val="4"/>
            <w:tcBorders>
              <w:top w:val="single" w:sz="4" w:space="0" w:color="auto"/>
            </w:tcBorders>
          </w:tcPr>
          <w:p w14:paraId="6D26DEF9" w14:textId="670447B9" w:rsidR="002256CD" w:rsidRPr="002256CD" w:rsidRDefault="002256CD" w:rsidP="002256CD">
            <w:pPr>
              <w:keepNext/>
              <w:keepLines/>
              <w:spacing w:before="40" w:line="276" w:lineRule="auto"/>
              <w:jc w:val="both"/>
              <w:outlineLvl w:val="1"/>
              <w:rPr>
                <w:rFonts w:eastAsiaTheme="majorEastAsia"/>
                <w:sz w:val="20"/>
                <w:szCs w:val="20"/>
              </w:rPr>
            </w:pPr>
            <w:bookmarkStart w:id="13" w:name="_Toc121153260"/>
            <w:r w:rsidRPr="002256CD">
              <w:rPr>
                <w:rFonts w:eastAsiaTheme="majorEastAsia"/>
                <w:sz w:val="20"/>
                <w:szCs w:val="20"/>
              </w:rPr>
              <w:t xml:space="preserve">Création </w:t>
            </w:r>
            <w:r w:rsidR="006002A6">
              <w:rPr>
                <w:rFonts w:eastAsiaTheme="majorEastAsia"/>
                <w:sz w:val="20"/>
                <w:szCs w:val="20"/>
              </w:rPr>
              <w:t xml:space="preserve">et reprise </w:t>
            </w:r>
            <w:r w:rsidRPr="002256CD">
              <w:rPr>
                <w:rFonts w:eastAsiaTheme="majorEastAsia"/>
                <w:sz w:val="20"/>
                <w:szCs w:val="20"/>
              </w:rPr>
              <w:t>d’activité.</w:t>
            </w:r>
            <w:bookmarkEnd w:id="13"/>
            <w:r w:rsidRPr="002256CD">
              <w:rPr>
                <w:rFonts w:eastAsiaTheme="majorEastAsia"/>
                <w:sz w:val="20"/>
                <w:szCs w:val="20"/>
              </w:rPr>
              <w:t xml:space="preserve"> </w:t>
            </w:r>
          </w:p>
        </w:tc>
      </w:tr>
      <w:tr w:rsidR="002256CD" w:rsidRPr="002256CD" w14:paraId="609457D1" w14:textId="77777777" w:rsidTr="006002A6">
        <w:trPr>
          <w:gridAfter w:val="2"/>
          <w:wAfter w:w="424" w:type="dxa"/>
        </w:trPr>
        <w:tc>
          <w:tcPr>
            <w:tcW w:w="2133" w:type="dxa"/>
            <w:shd w:val="clear" w:color="auto" w:fill="FFFF00"/>
            <w:vAlign w:val="center"/>
          </w:tcPr>
          <w:p w14:paraId="7BA923DC" w14:textId="77777777" w:rsidR="002256CD" w:rsidRPr="00C0606D" w:rsidRDefault="002256CD" w:rsidP="002256CD">
            <w:pPr>
              <w:jc w:val="center"/>
              <w:rPr>
                <w:b/>
                <w:bCs/>
              </w:rPr>
            </w:pPr>
            <w:bookmarkStart w:id="14" w:name="_Toc121148041"/>
            <w:r w:rsidRPr="00C0606D">
              <w:rPr>
                <w:b/>
                <w:bCs/>
                <w:sz w:val="20"/>
                <w:szCs w:val="20"/>
              </w:rPr>
              <w:t>Type d’action 4.1.1</w:t>
            </w:r>
            <w:bookmarkEnd w:id="14"/>
          </w:p>
        </w:tc>
        <w:tc>
          <w:tcPr>
            <w:tcW w:w="8784" w:type="dxa"/>
            <w:gridSpan w:val="4"/>
            <w:shd w:val="clear" w:color="auto" w:fill="FFFF00"/>
          </w:tcPr>
          <w:p w14:paraId="22D1AADB" w14:textId="77777777" w:rsidR="002256CD" w:rsidRPr="00C0606D" w:rsidRDefault="002256CD" w:rsidP="002256CD">
            <w:pPr>
              <w:keepNext/>
              <w:keepLines/>
              <w:spacing w:before="40" w:line="276" w:lineRule="auto"/>
              <w:jc w:val="both"/>
              <w:outlineLvl w:val="2"/>
              <w:rPr>
                <w:rFonts w:eastAsiaTheme="majorEastAsia"/>
                <w:b/>
                <w:bCs/>
                <w:iCs/>
                <w:sz w:val="20"/>
                <w:szCs w:val="20"/>
              </w:rPr>
            </w:pPr>
            <w:bookmarkStart w:id="15" w:name="_Toc121148042"/>
            <w:bookmarkStart w:id="16" w:name="_Toc121148462"/>
            <w:bookmarkStart w:id="17" w:name="_Toc121153261"/>
            <w:r w:rsidRPr="00C0606D">
              <w:rPr>
                <w:rFonts w:eastAsiaTheme="majorEastAsia"/>
                <w:b/>
                <w:bCs/>
                <w:sz w:val="20"/>
                <w:szCs w:val="20"/>
              </w:rPr>
              <w:t>Accompagnement à l’entrepreneuriat.</w:t>
            </w:r>
            <w:bookmarkStart w:id="18" w:name="_Hlk115791542"/>
            <w:bookmarkEnd w:id="15"/>
            <w:bookmarkEnd w:id="16"/>
            <w:bookmarkEnd w:id="17"/>
          </w:p>
        </w:tc>
      </w:tr>
      <w:tr w:rsidR="002256CD" w:rsidRPr="002256CD" w14:paraId="4D059F73" w14:textId="77777777" w:rsidTr="006002A6">
        <w:trPr>
          <w:gridAfter w:val="1"/>
          <w:wAfter w:w="409" w:type="dxa"/>
          <w:trHeight w:val="492"/>
        </w:trPr>
        <w:tc>
          <w:tcPr>
            <w:tcW w:w="10932" w:type="dxa"/>
            <w:gridSpan w:val="6"/>
            <w:shd w:val="clear" w:color="auto" w:fill="B4C6E7" w:themeFill="accent1" w:themeFillTint="66"/>
            <w:vAlign w:val="center"/>
          </w:tcPr>
          <w:p w14:paraId="35F9D8F9" w14:textId="77777777" w:rsidR="002256CD" w:rsidRPr="002256CD" w:rsidRDefault="002256CD" w:rsidP="002256CD">
            <w:pPr>
              <w:spacing w:line="276" w:lineRule="auto"/>
              <w:jc w:val="center"/>
              <w:rPr>
                <w:b/>
                <w:bCs/>
                <w:sz w:val="22"/>
                <w:szCs w:val="22"/>
              </w:rPr>
            </w:pPr>
            <w:r w:rsidRPr="002256CD">
              <w:rPr>
                <w:b/>
                <w:sz w:val="28"/>
                <w:szCs w:val="28"/>
              </w:rPr>
              <w:t>Principaux critères de sélection des projets</w:t>
            </w:r>
          </w:p>
        </w:tc>
      </w:tr>
      <w:tr w:rsidR="002256CD" w:rsidRPr="002256CD" w14:paraId="68F419DF" w14:textId="77777777" w:rsidTr="006002A6">
        <w:trPr>
          <w:gridAfter w:val="2"/>
          <w:wAfter w:w="424" w:type="dxa"/>
          <w:trHeight w:val="1145"/>
        </w:trPr>
        <w:tc>
          <w:tcPr>
            <w:tcW w:w="2133" w:type="dxa"/>
            <w:vAlign w:val="center"/>
          </w:tcPr>
          <w:p w14:paraId="6BC2D431" w14:textId="77777777" w:rsidR="002256CD" w:rsidRPr="002256CD" w:rsidRDefault="002256CD" w:rsidP="002256CD">
            <w:pPr>
              <w:spacing w:line="276" w:lineRule="auto"/>
              <w:jc w:val="center"/>
              <w:rPr>
                <w:b/>
                <w:bCs/>
                <w:sz w:val="20"/>
                <w:szCs w:val="20"/>
              </w:rPr>
            </w:pPr>
            <w:r w:rsidRPr="002256CD">
              <w:rPr>
                <w:b/>
                <w:bCs/>
                <w:sz w:val="20"/>
                <w:szCs w:val="20"/>
              </w:rPr>
              <w:t>Projets financés</w:t>
            </w:r>
          </w:p>
        </w:tc>
        <w:tc>
          <w:tcPr>
            <w:tcW w:w="8784" w:type="dxa"/>
            <w:gridSpan w:val="4"/>
          </w:tcPr>
          <w:p w14:paraId="6BF8D452" w14:textId="77777777" w:rsidR="006002A6" w:rsidRPr="006002A6" w:rsidRDefault="006002A6" w:rsidP="006002A6">
            <w:pPr>
              <w:spacing w:line="276" w:lineRule="auto"/>
              <w:jc w:val="both"/>
              <w:rPr>
                <w:sz w:val="20"/>
                <w:szCs w:val="20"/>
              </w:rPr>
            </w:pP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8573"/>
            </w:tblGrid>
            <w:tr w:rsidR="006002A6" w:rsidRPr="006002A6" w14:paraId="1AF7966E" w14:textId="77777777" w:rsidTr="006002A6">
              <w:trPr>
                <w:trHeight w:val="1276"/>
              </w:trPr>
              <w:tc>
                <w:tcPr>
                  <w:tcW w:w="8573" w:type="dxa"/>
                  <w:tcBorders>
                    <w:top w:val="nil"/>
                    <w:left w:val="nil"/>
                    <w:bottom w:val="nil"/>
                    <w:right w:val="nil"/>
                  </w:tcBorders>
                </w:tcPr>
                <w:p w14:paraId="43F64034" w14:textId="77777777" w:rsidR="006002A6" w:rsidRPr="006002A6" w:rsidRDefault="006002A6" w:rsidP="006002A6">
                  <w:pPr>
                    <w:spacing w:line="276" w:lineRule="auto"/>
                    <w:jc w:val="both"/>
                    <w:rPr>
                      <w:sz w:val="20"/>
                      <w:szCs w:val="20"/>
                    </w:rPr>
                  </w:pPr>
                  <w:r w:rsidRPr="006002A6">
                    <w:rPr>
                      <w:sz w:val="20"/>
                      <w:szCs w:val="20"/>
                    </w:rPr>
                    <w:t xml:space="preserve"> Un projet est susceptible d’être éligible à ce type d’actions s’il permet de soutenir : </w:t>
                  </w:r>
                </w:p>
                <w:p w14:paraId="5909F2D1" w14:textId="53839719" w:rsidR="006002A6" w:rsidRPr="006002A6" w:rsidRDefault="006002A6" w:rsidP="006002A6">
                  <w:pPr>
                    <w:numPr>
                      <w:ilvl w:val="0"/>
                      <w:numId w:val="7"/>
                    </w:numPr>
                    <w:spacing w:line="276" w:lineRule="auto"/>
                    <w:jc w:val="both"/>
                    <w:rPr>
                      <w:sz w:val="20"/>
                      <w:szCs w:val="20"/>
                    </w:rPr>
                  </w:pPr>
                  <w:r>
                    <w:rPr>
                      <w:sz w:val="20"/>
                      <w:szCs w:val="20"/>
                    </w:rPr>
                    <w:t xml:space="preserve">- </w:t>
                  </w:r>
                  <w:r w:rsidRPr="006002A6">
                    <w:rPr>
                      <w:sz w:val="20"/>
                      <w:szCs w:val="20"/>
                    </w:rPr>
                    <w:t xml:space="preserve">l’accompagnement à la création d’entreprise (la phase ante-création et post-création jusqu’à trois ans révolus après la création d’entreprise, dont la recherche de financement) ; </w:t>
                  </w:r>
                </w:p>
                <w:p w14:paraId="6DB5134A" w14:textId="4AC47D30" w:rsidR="006002A6" w:rsidRPr="006002A6" w:rsidRDefault="006002A6" w:rsidP="006002A6">
                  <w:pPr>
                    <w:numPr>
                      <w:ilvl w:val="0"/>
                      <w:numId w:val="7"/>
                    </w:numPr>
                    <w:spacing w:line="276" w:lineRule="auto"/>
                    <w:jc w:val="both"/>
                    <w:rPr>
                      <w:sz w:val="20"/>
                      <w:szCs w:val="20"/>
                    </w:rPr>
                  </w:pPr>
                  <w:r>
                    <w:rPr>
                      <w:sz w:val="20"/>
                      <w:szCs w:val="20"/>
                    </w:rPr>
                    <w:t xml:space="preserve">- </w:t>
                  </w:r>
                  <w:r w:rsidRPr="006002A6">
                    <w:rPr>
                      <w:sz w:val="20"/>
                      <w:szCs w:val="20"/>
                    </w:rPr>
                    <w:t xml:space="preserve">l’accompagnement à la reprise/transmission d’entreprises ; </w:t>
                  </w:r>
                </w:p>
                <w:p w14:paraId="56B1F624" w14:textId="72CFD69E" w:rsidR="006002A6" w:rsidRPr="006002A6" w:rsidRDefault="006002A6" w:rsidP="006002A6">
                  <w:pPr>
                    <w:numPr>
                      <w:ilvl w:val="0"/>
                      <w:numId w:val="7"/>
                    </w:numPr>
                    <w:spacing w:line="276" w:lineRule="auto"/>
                    <w:jc w:val="both"/>
                    <w:rPr>
                      <w:sz w:val="20"/>
                      <w:szCs w:val="20"/>
                    </w:rPr>
                  </w:pPr>
                  <w:r>
                    <w:rPr>
                      <w:sz w:val="20"/>
                      <w:szCs w:val="20"/>
                    </w:rPr>
                    <w:t xml:space="preserve">- </w:t>
                  </w:r>
                  <w:r w:rsidRPr="006002A6">
                    <w:rPr>
                      <w:sz w:val="20"/>
                      <w:szCs w:val="20"/>
                    </w:rPr>
                    <w:t xml:space="preserve">la professionnalisation des acteurs de l’accompagnement à la création et au suivi post-création et mise en réseau de ces acteurs (ingénierie et outils de l’accompagnement, appui au développement de nouveaux modèles entrepreneuriaux) ; </w:t>
                  </w:r>
                </w:p>
                <w:p w14:paraId="043CB174" w14:textId="2729DD86" w:rsidR="006002A6" w:rsidRPr="006002A6" w:rsidRDefault="006002A6" w:rsidP="006002A6">
                  <w:pPr>
                    <w:numPr>
                      <w:ilvl w:val="0"/>
                      <w:numId w:val="7"/>
                    </w:numPr>
                    <w:spacing w:line="276" w:lineRule="auto"/>
                    <w:jc w:val="both"/>
                    <w:rPr>
                      <w:sz w:val="20"/>
                      <w:szCs w:val="20"/>
                    </w:rPr>
                  </w:pPr>
                  <w:r>
                    <w:rPr>
                      <w:sz w:val="20"/>
                      <w:szCs w:val="20"/>
                    </w:rPr>
                    <w:t xml:space="preserve">- </w:t>
                  </w:r>
                  <w:r w:rsidRPr="006002A6">
                    <w:rPr>
                      <w:sz w:val="20"/>
                      <w:szCs w:val="20"/>
                    </w:rPr>
                    <w:t xml:space="preserve">la mise en réseau et l’accompagnement des entrepreneurs étudiants (Pépite, etc.). </w:t>
                  </w:r>
                </w:p>
                <w:p w14:paraId="2770519C" w14:textId="77777777" w:rsidR="006002A6" w:rsidRPr="006002A6" w:rsidRDefault="006002A6" w:rsidP="006002A6">
                  <w:pPr>
                    <w:spacing w:line="276" w:lineRule="auto"/>
                    <w:jc w:val="both"/>
                    <w:rPr>
                      <w:sz w:val="20"/>
                      <w:szCs w:val="20"/>
                    </w:rPr>
                  </w:pPr>
                </w:p>
              </w:tc>
            </w:tr>
          </w:tbl>
          <w:p w14:paraId="6A8E1CCF" w14:textId="70724CCA" w:rsidR="002256CD" w:rsidRPr="002256CD" w:rsidRDefault="002256CD" w:rsidP="002256CD">
            <w:pPr>
              <w:spacing w:line="276" w:lineRule="auto"/>
              <w:jc w:val="both"/>
              <w:rPr>
                <w:sz w:val="20"/>
                <w:szCs w:val="20"/>
              </w:rPr>
            </w:pPr>
          </w:p>
        </w:tc>
      </w:tr>
      <w:tr w:rsidR="002256CD" w:rsidRPr="002256CD" w14:paraId="7920A13D" w14:textId="77777777" w:rsidTr="006002A6">
        <w:trPr>
          <w:gridAfter w:val="2"/>
          <w:wAfter w:w="424" w:type="dxa"/>
          <w:trHeight w:val="693"/>
        </w:trPr>
        <w:tc>
          <w:tcPr>
            <w:tcW w:w="2133" w:type="dxa"/>
            <w:vAlign w:val="center"/>
          </w:tcPr>
          <w:p w14:paraId="779176B2" w14:textId="77777777" w:rsidR="002256CD" w:rsidRPr="002256CD" w:rsidRDefault="002256CD" w:rsidP="002256CD">
            <w:pPr>
              <w:spacing w:line="276" w:lineRule="auto"/>
              <w:jc w:val="center"/>
              <w:rPr>
                <w:b/>
                <w:bCs/>
                <w:sz w:val="20"/>
                <w:szCs w:val="20"/>
              </w:rPr>
            </w:pPr>
            <w:r w:rsidRPr="002256CD">
              <w:rPr>
                <w:b/>
                <w:bCs/>
                <w:sz w:val="20"/>
                <w:szCs w:val="20"/>
              </w:rPr>
              <w:t>Porteurs de projets (groupes cibles)</w:t>
            </w:r>
          </w:p>
        </w:tc>
        <w:tc>
          <w:tcPr>
            <w:tcW w:w="8784" w:type="dxa"/>
            <w:gridSpan w:val="4"/>
          </w:tcPr>
          <w:p w14:paraId="22838014" w14:textId="77777777" w:rsidR="002256CD" w:rsidRPr="002256CD" w:rsidRDefault="002256CD" w:rsidP="002256CD">
            <w:pPr>
              <w:spacing w:line="276" w:lineRule="auto"/>
              <w:jc w:val="both"/>
              <w:rPr>
                <w:sz w:val="20"/>
                <w:szCs w:val="20"/>
              </w:rPr>
            </w:pPr>
            <w:r w:rsidRPr="002256CD">
              <w:rPr>
                <w:sz w:val="20"/>
                <w:szCs w:val="20"/>
              </w:rPr>
              <w:t>- Opérateurs régionaux de l'accompagnement et du financement de création/reprise d'entreprises (personnes morales de droit public ou privé) ;</w:t>
            </w:r>
          </w:p>
          <w:p w14:paraId="29D54B05" w14:textId="77777777" w:rsidR="002256CD" w:rsidRDefault="002256CD" w:rsidP="002256CD">
            <w:pPr>
              <w:spacing w:line="276" w:lineRule="auto"/>
              <w:jc w:val="both"/>
              <w:rPr>
                <w:sz w:val="20"/>
                <w:szCs w:val="20"/>
              </w:rPr>
            </w:pPr>
            <w:r w:rsidRPr="002256CD">
              <w:rPr>
                <w:sz w:val="20"/>
                <w:szCs w:val="20"/>
              </w:rPr>
              <w:t>- Entreprises (TPE, PME) ;</w:t>
            </w:r>
          </w:p>
          <w:p w14:paraId="355E0A5C" w14:textId="12BD78B1" w:rsidR="006002A6" w:rsidRPr="002256CD" w:rsidRDefault="006002A6" w:rsidP="002256CD">
            <w:pPr>
              <w:spacing w:line="276" w:lineRule="auto"/>
              <w:jc w:val="both"/>
              <w:rPr>
                <w:sz w:val="20"/>
                <w:szCs w:val="20"/>
              </w:rPr>
            </w:pPr>
            <w:r>
              <w:rPr>
                <w:sz w:val="20"/>
                <w:szCs w:val="20"/>
              </w:rPr>
              <w:t xml:space="preserve">- </w:t>
            </w:r>
            <w:r w:rsidRPr="00297AE5">
              <w:rPr>
                <w:sz w:val="20"/>
                <w:szCs w:val="20"/>
              </w:rPr>
              <w:t>Structures d’accompagnement et établissements d’enseignements supérieur impliqués dans un Pôle étudiant pour l’innovation, le transfert et l’entrepreneuriat (PEPITE</w:t>
            </w:r>
            <w:r>
              <w:rPr>
                <w:sz w:val="20"/>
                <w:szCs w:val="20"/>
              </w:rPr>
              <w:t>)</w:t>
            </w:r>
          </w:p>
          <w:p w14:paraId="76ABCACA" w14:textId="111E7FE5" w:rsidR="002256CD" w:rsidRPr="002256CD" w:rsidRDefault="002256CD" w:rsidP="002256CD">
            <w:pPr>
              <w:spacing w:line="276" w:lineRule="auto"/>
              <w:jc w:val="both"/>
              <w:rPr>
                <w:sz w:val="20"/>
                <w:szCs w:val="20"/>
              </w:rPr>
            </w:pPr>
            <w:r w:rsidRPr="002256CD">
              <w:rPr>
                <w:sz w:val="20"/>
                <w:szCs w:val="20"/>
              </w:rPr>
              <w:t xml:space="preserve">- </w:t>
            </w:r>
            <w:r w:rsidR="000434F2">
              <w:rPr>
                <w:sz w:val="20"/>
                <w:szCs w:val="20"/>
              </w:rPr>
              <w:t>Chambres consulaires ;</w:t>
            </w:r>
          </w:p>
          <w:p w14:paraId="378FAEA1" w14:textId="77777777" w:rsidR="002256CD" w:rsidRPr="002256CD" w:rsidRDefault="002256CD" w:rsidP="002256CD">
            <w:pPr>
              <w:spacing w:line="276" w:lineRule="auto"/>
              <w:jc w:val="both"/>
              <w:rPr>
                <w:sz w:val="20"/>
                <w:szCs w:val="20"/>
              </w:rPr>
            </w:pPr>
            <w:r w:rsidRPr="002256CD">
              <w:rPr>
                <w:sz w:val="20"/>
                <w:szCs w:val="20"/>
              </w:rPr>
              <w:t>- Collectivités territoriales ;</w:t>
            </w:r>
          </w:p>
          <w:p w14:paraId="1E2B2B16" w14:textId="77777777" w:rsidR="002256CD" w:rsidRPr="002256CD" w:rsidRDefault="002256CD" w:rsidP="002256CD">
            <w:pPr>
              <w:spacing w:line="276" w:lineRule="auto"/>
              <w:jc w:val="both"/>
              <w:rPr>
                <w:sz w:val="20"/>
                <w:szCs w:val="20"/>
              </w:rPr>
            </w:pPr>
            <w:r w:rsidRPr="002256CD">
              <w:rPr>
                <w:sz w:val="20"/>
                <w:szCs w:val="20"/>
              </w:rPr>
              <w:t>- Pôles territoriaux de coopération économique.</w:t>
            </w:r>
          </w:p>
        </w:tc>
      </w:tr>
      <w:tr w:rsidR="002256CD" w:rsidRPr="002256CD" w14:paraId="6748A97C" w14:textId="77777777" w:rsidTr="006002A6">
        <w:trPr>
          <w:gridAfter w:val="2"/>
          <w:wAfter w:w="424" w:type="dxa"/>
          <w:trHeight w:val="693"/>
        </w:trPr>
        <w:tc>
          <w:tcPr>
            <w:tcW w:w="2133" w:type="dxa"/>
            <w:vAlign w:val="center"/>
          </w:tcPr>
          <w:p w14:paraId="73D68E7A" w14:textId="77777777" w:rsidR="002256CD" w:rsidRPr="002256CD" w:rsidRDefault="002256CD" w:rsidP="002256CD">
            <w:pPr>
              <w:spacing w:line="276" w:lineRule="auto"/>
              <w:jc w:val="center"/>
              <w:rPr>
                <w:b/>
                <w:bCs/>
                <w:sz w:val="20"/>
                <w:szCs w:val="20"/>
              </w:rPr>
            </w:pPr>
            <w:r w:rsidRPr="002256CD">
              <w:rPr>
                <w:b/>
                <w:bCs/>
                <w:sz w:val="20"/>
                <w:szCs w:val="20"/>
              </w:rPr>
              <w:t>Publics éligibles</w:t>
            </w:r>
          </w:p>
        </w:tc>
        <w:tc>
          <w:tcPr>
            <w:tcW w:w="8784" w:type="dxa"/>
            <w:gridSpan w:val="4"/>
          </w:tcPr>
          <w:p w14:paraId="0924DF20" w14:textId="692184F1" w:rsidR="002256CD" w:rsidRPr="002256CD" w:rsidRDefault="002256CD" w:rsidP="002256CD">
            <w:pPr>
              <w:spacing w:line="276" w:lineRule="auto"/>
              <w:jc w:val="both"/>
              <w:rPr>
                <w:sz w:val="20"/>
                <w:szCs w:val="20"/>
              </w:rPr>
            </w:pPr>
            <w:r w:rsidRPr="002256CD">
              <w:rPr>
                <w:sz w:val="20"/>
                <w:szCs w:val="20"/>
              </w:rPr>
              <w:t>- Jeunes</w:t>
            </w:r>
            <w:r w:rsidR="00C4413B">
              <w:rPr>
                <w:sz w:val="20"/>
                <w:szCs w:val="20"/>
              </w:rPr>
              <w:t xml:space="preserve"> jusqu’à 29 ans inclus</w:t>
            </w:r>
            <w:r w:rsidRPr="002256CD">
              <w:rPr>
                <w:sz w:val="20"/>
                <w:szCs w:val="20"/>
              </w:rPr>
              <w:t> ;</w:t>
            </w:r>
          </w:p>
          <w:p w14:paraId="66908B64" w14:textId="77777777" w:rsidR="002256CD" w:rsidRPr="002256CD" w:rsidRDefault="002256CD" w:rsidP="002256CD">
            <w:pPr>
              <w:spacing w:line="276" w:lineRule="auto"/>
              <w:jc w:val="both"/>
              <w:rPr>
                <w:sz w:val="20"/>
                <w:szCs w:val="20"/>
              </w:rPr>
            </w:pPr>
            <w:r w:rsidRPr="002256CD">
              <w:rPr>
                <w:sz w:val="20"/>
                <w:szCs w:val="20"/>
              </w:rPr>
              <w:t>- Femmes ;</w:t>
            </w:r>
          </w:p>
          <w:p w14:paraId="52406114" w14:textId="77777777" w:rsidR="002256CD" w:rsidRPr="002256CD" w:rsidRDefault="002256CD" w:rsidP="002256CD">
            <w:pPr>
              <w:spacing w:line="276" w:lineRule="auto"/>
              <w:jc w:val="both"/>
              <w:rPr>
                <w:sz w:val="20"/>
                <w:szCs w:val="20"/>
              </w:rPr>
            </w:pPr>
            <w:r w:rsidRPr="002256CD">
              <w:rPr>
                <w:sz w:val="20"/>
                <w:szCs w:val="20"/>
              </w:rPr>
              <w:t>- Demandeurs d’emploi ;</w:t>
            </w:r>
          </w:p>
          <w:p w14:paraId="0AD92FBC" w14:textId="77777777" w:rsidR="002256CD" w:rsidRPr="002256CD" w:rsidRDefault="002256CD" w:rsidP="002256CD">
            <w:pPr>
              <w:spacing w:line="276" w:lineRule="auto"/>
              <w:jc w:val="both"/>
              <w:rPr>
                <w:sz w:val="20"/>
                <w:szCs w:val="20"/>
              </w:rPr>
            </w:pPr>
            <w:r w:rsidRPr="002256CD">
              <w:rPr>
                <w:sz w:val="20"/>
                <w:szCs w:val="20"/>
              </w:rPr>
              <w:t>- Inactifs ;</w:t>
            </w:r>
          </w:p>
          <w:p w14:paraId="09E3E77A" w14:textId="3DC9FBF6" w:rsidR="002256CD" w:rsidRDefault="002256CD" w:rsidP="002256CD">
            <w:pPr>
              <w:spacing w:line="276" w:lineRule="auto"/>
              <w:jc w:val="both"/>
              <w:rPr>
                <w:sz w:val="20"/>
                <w:szCs w:val="20"/>
              </w:rPr>
            </w:pPr>
            <w:r w:rsidRPr="002256CD">
              <w:rPr>
                <w:sz w:val="20"/>
                <w:szCs w:val="20"/>
              </w:rPr>
              <w:t>- Responsable de structures en post-création (structures créées depuis moins de 3 ans</w:t>
            </w:r>
            <w:r w:rsidR="00A63918">
              <w:rPr>
                <w:sz w:val="20"/>
                <w:szCs w:val="20"/>
              </w:rPr>
              <w:t xml:space="preserve"> à la sortie de l’opération</w:t>
            </w:r>
            <w:r w:rsidRPr="002256CD">
              <w:rPr>
                <w:sz w:val="20"/>
                <w:szCs w:val="20"/>
              </w:rPr>
              <w:t>) ;</w:t>
            </w:r>
          </w:p>
          <w:p w14:paraId="672A58CB" w14:textId="7EB460DA" w:rsidR="00C4413B" w:rsidRPr="002256CD" w:rsidRDefault="00C4413B" w:rsidP="002256CD">
            <w:pPr>
              <w:spacing w:line="276" w:lineRule="auto"/>
              <w:jc w:val="both"/>
              <w:rPr>
                <w:sz w:val="20"/>
                <w:szCs w:val="20"/>
              </w:rPr>
            </w:pPr>
            <w:r>
              <w:rPr>
                <w:sz w:val="20"/>
                <w:szCs w:val="20"/>
              </w:rPr>
              <w:t>- Etudiants entrepreneur (SNEE)</w:t>
            </w:r>
          </w:p>
          <w:p w14:paraId="6FBDF937" w14:textId="77777777" w:rsidR="006002A6" w:rsidRDefault="006002A6" w:rsidP="006002A6">
            <w:pPr>
              <w:pStyle w:val="Default"/>
              <w:jc w:val="both"/>
              <w:rPr>
                <w:sz w:val="20"/>
                <w:szCs w:val="20"/>
              </w:rPr>
            </w:pPr>
          </w:p>
          <w:p w14:paraId="4DF66CCF" w14:textId="052B7897" w:rsidR="006002A6" w:rsidRDefault="006002A6" w:rsidP="006002A6">
            <w:pPr>
              <w:pStyle w:val="Default"/>
              <w:jc w:val="both"/>
              <w:rPr>
                <w:sz w:val="20"/>
                <w:szCs w:val="20"/>
              </w:rPr>
            </w:pPr>
            <w:r>
              <w:rPr>
                <w:sz w:val="20"/>
                <w:szCs w:val="20"/>
              </w:rPr>
              <w:t>La définition des publics éligibles et les pièces justificatives à fournir sont indiquées dans la Fiche méthode 3 du "</w:t>
            </w:r>
            <w:r>
              <w:rPr>
                <w:i/>
                <w:iCs/>
                <w:color w:val="0000FF"/>
                <w:sz w:val="20"/>
                <w:szCs w:val="20"/>
              </w:rPr>
              <w:t xml:space="preserve">guide méthodologique de mise en </w:t>
            </w:r>
            <w:proofErr w:type="spellStart"/>
            <w:r>
              <w:rPr>
                <w:i/>
                <w:iCs/>
                <w:color w:val="0000FF"/>
                <w:sz w:val="20"/>
                <w:szCs w:val="20"/>
              </w:rPr>
              <w:t>oeuvre</w:t>
            </w:r>
            <w:proofErr w:type="spellEnd"/>
            <w:r>
              <w:rPr>
                <w:sz w:val="20"/>
                <w:szCs w:val="20"/>
              </w:rPr>
              <w:t xml:space="preserve">" : </w:t>
            </w:r>
            <w:r>
              <w:rPr>
                <w:i/>
                <w:iCs/>
                <w:sz w:val="20"/>
                <w:szCs w:val="20"/>
              </w:rPr>
              <w:t xml:space="preserve">"les justificatifs participants et destinataires finaux". </w:t>
            </w:r>
          </w:p>
          <w:p w14:paraId="6E8E61BE" w14:textId="1C362E14" w:rsidR="002256CD" w:rsidRPr="002256CD" w:rsidRDefault="002256CD" w:rsidP="002256CD">
            <w:pPr>
              <w:spacing w:line="276" w:lineRule="auto"/>
              <w:jc w:val="both"/>
              <w:rPr>
                <w:sz w:val="20"/>
                <w:szCs w:val="20"/>
              </w:rPr>
            </w:pPr>
          </w:p>
        </w:tc>
      </w:tr>
      <w:tr w:rsidR="002256CD" w:rsidRPr="002256CD" w14:paraId="35030673" w14:textId="77777777" w:rsidTr="006002A6">
        <w:trPr>
          <w:gridAfter w:val="2"/>
          <w:wAfter w:w="424" w:type="dxa"/>
          <w:trHeight w:val="366"/>
        </w:trPr>
        <w:tc>
          <w:tcPr>
            <w:tcW w:w="2133" w:type="dxa"/>
            <w:vAlign w:val="center"/>
          </w:tcPr>
          <w:p w14:paraId="699AF6CD" w14:textId="77777777" w:rsidR="002256CD" w:rsidRPr="002256CD" w:rsidRDefault="002256CD" w:rsidP="002256CD">
            <w:pPr>
              <w:spacing w:line="276" w:lineRule="auto"/>
              <w:jc w:val="center"/>
              <w:rPr>
                <w:b/>
                <w:bCs/>
                <w:sz w:val="20"/>
                <w:szCs w:val="20"/>
              </w:rPr>
            </w:pPr>
          </w:p>
          <w:p w14:paraId="78FB00DE" w14:textId="77777777" w:rsidR="002256CD" w:rsidRPr="002256CD" w:rsidRDefault="002256CD" w:rsidP="002256CD">
            <w:pPr>
              <w:spacing w:line="276" w:lineRule="auto"/>
              <w:jc w:val="center"/>
              <w:rPr>
                <w:b/>
                <w:bCs/>
                <w:sz w:val="20"/>
                <w:szCs w:val="20"/>
              </w:rPr>
            </w:pPr>
            <w:r w:rsidRPr="002256CD">
              <w:rPr>
                <w:b/>
                <w:bCs/>
                <w:sz w:val="20"/>
                <w:szCs w:val="20"/>
              </w:rPr>
              <w:t>Temporalité</w:t>
            </w:r>
          </w:p>
          <w:p w14:paraId="505D4227" w14:textId="77777777" w:rsidR="002256CD" w:rsidRPr="002256CD" w:rsidRDefault="002256CD" w:rsidP="002256CD">
            <w:pPr>
              <w:spacing w:line="276" w:lineRule="auto"/>
              <w:jc w:val="center"/>
              <w:rPr>
                <w:b/>
                <w:bCs/>
                <w:sz w:val="20"/>
                <w:szCs w:val="20"/>
              </w:rPr>
            </w:pPr>
          </w:p>
        </w:tc>
        <w:tc>
          <w:tcPr>
            <w:tcW w:w="8784" w:type="dxa"/>
            <w:gridSpan w:val="4"/>
            <w:vAlign w:val="center"/>
          </w:tcPr>
          <w:p w14:paraId="24BFB59A" w14:textId="5D2801F4" w:rsidR="002256CD" w:rsidRPr="002256CD" w:rsidRDefault="002256CD" w:rsidP="002256CD">
            <w:pPr>
              <w:spacing w:line="276" w:lineRule="auto"/>
              <w:jc w:val="both"/>
              <w:rPr>
                <w:sz w:val="20"/>
                <w:szCs w:val="20"/>
              </w:rPr>
            </w:pPr>
            <w:r w:rsidRPr="002256CD">
              <w:rPr>
                <w:sz w:val="20"/>
                <w:szCs w:val="20"/>
              </w:rPr>
              <w:t>Réalisation des opérations à partir du 1</w:t>
            </w:r>
            <w:r w:rsidRPr="002256CD">
              <w:rPr>
                <w:sz w:val="20"/>
                <w:szCs w:val="20"/>
                <w:vertAlign w:val="superscript"/>
              </w:rPr>
              <w:t>er</w:t>
            </w:r>
            <w:r w:rsidRPr="002256CD">
              <w:rPr>
                <w:sz w:val="20"/>
                <w:szCs w:val="20"/>
              </w:rPr>
              <w:t xml:space="preserve"> janvier 202</w:t>
            </w:r>
            <w:r w:rsidR="006002A6">
              <w:rPr>
                <w:sz w:val="20"/>
                <w:szCs w:val="20"/>
              </w:rPr>
              <w:t>6</w:t>
            </w:r>
            <w:r w:rsidRPr="002256CD">
              <w:rPr>
                <w:sz w:val="20"/>
                <w:szCs w:val="20"/>
              </w:rPr>
              <w:t>.</w:t>
            </w:r>
          </w:p>
          <w:p w14:paraId="69A689D8" w14:textId="0092B2E2" w:rsidR="002256CD" w:rsidRPr="002256CD" w:rsidRDefault="002256CD" w:rsidP="002256CD">
            <w:pPr>
              <w:spacing w:line="276" w:lineRule="auto"/>
              <w:jc w:val="both"/>
              <w:rPr>
                <w:sz w:val="20"/>
                <w:szCs w:val="20"/>
              </w:rPr>
            </w:pPr>
            <w:r w:rsidRPr="002256CD">
              <w:rPr>
                <w:sz w:val="20"/>
                <w:szCs w:val="20"/>
              </w:rPr>
              <w:t xml:space="preserve">Durée de réalisation de l’opération : entre 12 et </w:t>
            </w:r>
            <w:r w:rsidR="000434F2">
              <w:rPr>
                <w:sz w:val="20"/>
                <w:szCs w:val="20"/>
              </w:rPr>
              <w:t>36</w:t>
            </w:r>
            <w:r w:rsidR="00A63918">
              <w:rPr>
                <w:sz w:val="20"/>
                <w:szCs w:val="20"/>
              </w:rPr>
              <w:t xml:space="preserve"> mois</w:t>
            </w:r>
            <w:r w:rsidRPr="002256CD">
              <w:rPr>
                <w:sz w:val="20"/>
                <w:szCs w:val="20"/>
              </w:rPr>
              <w:t>.</w:t>
            </w:r>
          </w:p>
        </w:tc>
      </w:tr>
      <w:tr w:rsidR="002256CD" w:rsidRPr="002256CD" w14:paraId="439D1EE1" w14:textId="77777777" w:rsidTr="006002A6">
        <w:trPr>
          <w:gridAfter w:val="2"/>
          <w:wAfter w:w="424" w:type="dxa"/>
          <w:trHeight w:val="366"/>
        </w:trPr>
        <w:tc>
          <w:tcPr>
            <w:tcW w:w="2133" w:type="dxa"/>
            <w:vAlign w:val="center"/>
          </w:tcPr>
          <w:p w14:paraId="501B4198" w14:textId="77777777" w:rsidR="002256CD" w:rsidRPr="002256CD" w:rsidRDefault="002256CD" w:rsidP="002256CD">
            <w:pPr>
              <w:spacing w:line="276" w:lineRule="auto"/>
              <w:jc w:val="center"/>
              <w:rPr>
                <w:b/>
                <w:bCs/>
                <w:sz w:val="20"/>
                <w:szCs w:val="20"/>
              </w:rPr>
            </w:pPr>
            <w:r w:rsidRPr="002256CD">
              <w:rPr>
                <w:b/>
                <w:bCs/>
                <w:sz w:val="20"/>
                <w:szCs w:val="20"/>
              </w:rPr>
              <w:t>Périmètre géographique</w:t>
            </w:r>
          </w:p>
        </w:tc>
        <w:tc>
          <w:tcPr>
            <w:tcW w:w="8784" w:type="dxa"/>
            <w:gridSpan w:val="4"/>
            <w:vAlign w:val="center"/>
          </w:tcPr>
          <w:p w14:paraId="40B03990" w14:textId="77777777" w:rsidR="002256CD" w:rsidRPr="002256CD" w:rsidRDefault="002256CD" w:rsidP="002256CD">
            <w:pPr>
              <w:spacing w:line="276" w:lineRule="auto"/>
              <w:jc w:val="both"/>
              <w:rPr>
                <w:sz w:val="20"/>
                <w:szCs w:val="20"/>
              </w:rPr>
            </w:pPr>
            <w:r w:rsidRPr="002256CD">
              <w:rPr>
                <w:sz w:val="20"/>
                <w:szCs w:val="20"/>
              </w:rPr>
              <w:t xml:space="preserve">Île-de-France. </w:t>
            </w:r>
          </w:p>
        </w:tc>
      </w:tr>
      <w:tr w:rsidR="002256CD" w:rsidRPr="002256CD" w14:paraId="7CDC87CD" w14:textId="77777777" w:rsidTr="006002A6">
        <w:trPr>
          <w:gridAfter w:val="2"/>
          <w:wAfter w:w="424" w:type="dxa"/>
          <w:trHeight w:val="366"/>
        </w:trPr>
        <w:tc>
          <w:tcPr>
            <w:tcW w:w="2133" w:type="dxa"/>
            <w:vAlign w:val="center"/>
          </w:tcPr>
          <w:p w14:paraId="7DB68835" w14:textId="77777777" w:rsidR="002256CD" w:rsidRPr="002256CD" w:rsidRDefault="002256CD" w:rsidP="002256CD">
            <w:pPr>
              <w:spacing w:line="276" w:lineRule="auto"/>
              <w:jc w:val="center"/>
              <w:rPr>
                <w:b/>
                <w:bCs/>
                <w:sz w:val="20"/>
                <w:szCs w:val="20"/>
              </w:rPr>
            </w:pPr>
            <w:r w:rsidRPr="002256CD">
              <w:rPr>
                <w:b/>
                <w:bCs/>
                <w:sz w:val="20"/>
                <w:szCs w:val="20"/>
              </w:rPr>
              <w:lastRenderedPageBreak/>
              <w:t>Mode de financement</w:t>
            </w:r>
          </w:p>
        </w:tc>
        <w:tc>
          <w:tcPr>
            <w:tcW w:w="8784" w:type="dxa"/>
            <w:gridSpan w:val="4"/>
            <w:vAlign w:val="center"/>
          </w:tcPr>
          <w:p w14:paraId="5E945DBA" w14:textId="77777777" w:rsidR="002256CD" w:rsidRPr="002256CD" w:rsidRDefault="002256CD" w:rsidP="002256CD">
            <w:pPr>
              <w:spacing w:line="276" w:lineRule="auto"/>
              <w:jc w:val="both"/>
              <w:rPr>
                <w:sz w:val="20"/>
                <w:szCs w:val="20"/>
              </w:rPr>
            </w:pPr>
            <w:r w:rsidRPr="002256CD">
              <w:rPr>
                <w:sz w:val="20"/>
                <w:szCs w:val="20"/>
              </w:rPr>
              <w:t xml:space="preserve">Subvention. </w:t>
            </w:r>
          </w:p>
        </w:tc>
      </w:tr>
      <w:tr w:rsidR="002256CD" w:rsidRPr="002256CD" w14:paraId="608C8236" w14:textId="77777777" w:rsidTr="006002A6">
        <w:trPr>
          <w:gridAfter w:val="2"/>
          <w:wAfter w:w="424" w:type="dxa"/>
          <w:trHeight w:val="416"/>
        </w:trPr>
        <w:tc>
          <w:tcPr>
            <w:tcW w:w="2133" w:type="dxa"/>
            <w:vAlign w:val="center"/>
          </w:tcPr>
          <w:p w14:paraId="3352BE82" w14:textId="77777777" w:rsidR="002256CD" w:rsidRPr="002256CD" w:rsidRDefault="002256CD" w:rsidP="002256CD">
            <w:pPr>
              <w:spacing w:line="276" w:lineRule="auto"/>
              <w:jc w:val="center"/>
              <w:rPr>
                <w:b/>
                <w:bCs/>
                <w:sz w:val="20"/>
                <w:szCs w:val="20"/>
              </w:rPr>
            </w:pPr>
            <w:r w:rsidRPr="002256CD">
              <w:rPr>
                <w:b/>
                <w:bCs/>
                <w:sz w:val="20"/>
                <w:szCs w:val="20"/>
              </w:rPr>
              <w:t>Prise en compte</w:t>
            </w:r>
          </w:p>
          <w:p w14:paraId="08633E99" w14:textId="77777777" w:rsidR="002256CD" w:rsidRPr="002256CD" w:rsidRDefault="002256CD" w:rsidP="002256CD">
            <w:pPr>
              <w:spacing w:line="276" w:lineRule="auto"/>
              <w:jc w:val="center"/>
              <w:rPr>
                <w:b/>
                <w:bCs/>
                <w:sz w:val="20"/>
                <w:szCs w:val="20"/>
              </w:rPr>
            </w:pPr>
            <w:proofErr w:type="gramStart"/>
            <w:r w:rsidRPr="002256CD">
              <w:rPr>
                <w:b/>
                <w:bCs/>
                <w:sz w:val="20"/>
                <w:szCs w:val="20"/>
              </w:rPr>
              <w:t>des</w:t>
            </w:r>
            <w:proofErr w:type="gramEnd"/>
            <w:r w:rsidRPr="002256CD">
              <w:rPr>
                <w:b/>
                <w:bCs/>
                <w:sz w:val="20"/>
                <w:szCs w:val="20"/>
              </w:rPr>
              <w:t xml:space="preserve"> priorités transversales</w:t>
            </w:r>
          </w:p>
        </w:tc>
        <w:tc>
          <w:tcPr>
            <w:tcW w:w="8784" w:type="dxa"/>
            <w:gridSpan w:val="4"/>
          </w:tcPr>
          <w:p w14:paraId="62651DFD" w14:textId="77777777" w:rsidR="002256CD" w:rsidRPr="002256CD" w:rsidRDefault="002256CD" w:rsidP="002256CD">
            <w:pPr>
              <w:spacing w:line="276" w:lineRule="auto"/>
              <w:jc w:val="both"/>
              <w:rPr>
                <w:sz w:val="20"/>
                <w:szCs w:val="20"/>
              </w:rPr>
            </w:pPr>
            <w:r w:rsidRPr="002256CD">
              <w:rPr>
                <w:sz w:val="20"/>
                <w:szCs w:val="20"/>
              </w:rPr>
              <w:t xml:space="preserve">L’opération doit contribuer aux quatre priorités transversales suivantes : </w:t>
            </w:r>
          </w:p>
          <w:p w14:paraId="5C3C6BC5" w14:textId="77777777" w:rsidR="002256CD" w:rsidRPr="002256CD" w:rsidRDefault="002256CD" w:rsidP="002256CD">
            <w:pPr>
              <w:spacing w:line="276" w:lineRule="auto"/>
              <w:jc w:val="both"/>
              <w:rPr>
                <w:sz w:val="20"/>
                <w:szCs w:val="20"/>
              </w:rPr>
            </w:pPr>
            <w:r w:rsidRPr="002256CD">
              <w:rPr>
                <w:sz w:val="20"/>
                <w:szCs w:val="20"/>
              </w:rPr>
              <w:t>- veiller au respect des droits fondamentaux et à la conformité avec la Charte des droits fondamentaux de l’Union européenne lors de la mise en œuvre des fonds ;</w:t>
            </w:r>
          </w:p>
          <w:p w14:paraId="14FF3DE2" w14:textId="77777777" w:rsidR="002256CD" w:rsidRPr="002256CD" w:rsidRDefault="002256CD" w:rsidP="002256CD">
            <w:pPr>
              <w:spacing w:line="276" w:lineRule="auto"/>
              <w:jc w:val="both"/>
              <w:rPr>
                <w:sz w:val="20"/>
                <w:szCs w:val="20"/>
              </w:rPr>
            </w:pPr>
            <w:r w:rsidRPr="002256CD">
              <w:rPr>
                <w:sz w:val="20"/>
                <w:szCs w:val="20"/>
              </w:rPr>
              <w:t>- prendre en compte et favoriser l’égalité entre les hommes et les femmes, l’intégration des questions d’égalité entre les hommes et les femmes et l’intégration de la dimension de genre ;</w:t>
            </w:r>
          </w:p>
          <w:p w14:paraId="1EF5CE5C" w14:textId="77777777" w:rsidR="002256CD" w:rsidRPr="002256CD" w:rsidRDefault="002256CD" w:rsidP="002256CD">
            <w:pPr>
              <w:spacing w:line="276" w:lineRule="auto"/>
              <w:jc w:val="both"/>
              <w:rPr>
                <w:sz w:val="20"/>
                <w:szCs w:val="20"/>
              </w:rPr>
            </w:pPr>
            <w:r w:rsidRPr="002256CD">
              <w:rPr>
                <w:sz w:val="20"/>
                <w:szCs w:val="20"/>
              </w:rPr>
              <w:t>- prévenir toute discrimination fondée sur le sexe, l’origine raciale ou ethnique, la religion ou les convictions, le handicap (notamment par la prise en compte de l’accessibilité pour les personnes handicapées), l’âge ou l’orientation sexuelle ;</w:t>
            </w:r>
          </w:p>
          <w:p w14:paraId="56FA6F4B" w14:textId="77777777" w:rsidR="002256CD" w:rsidRPr="002256CD" w:rsidRDefault="002256CD" w:rsidP="002256CD">
            <w:pPr>
              <w:spacing w:line="276" w:lineRule="auto"/>
              <w:jc w:val="both"/>
              <w:rPr>
                <w:sz w:val="20"/>
                <w:szCs w:val="20"/>
              </w:rPr>
            </w:pPr>
            <w:r w:rsidRPr="002256CD">
              <w:rPr>
                <w:sz w:val="20"/>
                <w:szCs w:val="20"/>
              </w:rPr>
              <w:t>- promouvoir le développement durable.</w:t>
            </w:r>
          </w:p>
        </w:tc>
      </w:tr>
      <w:tr w:rsidR="002256CD" w:rsidRPr="002256CD" w14:paraId="14E92C74" w14:textId="77777777" w:rsidTr="006002A6">
        <w:trPr>
          <w:gridAfter w:val="2"/>
          <w:wAfter w:w="424" w:type="dxa"/>
          <w:trHeight w:val="269"/>
        </w:trPr>
        <w:tc>
          <w:tcPr>
            <w:tcW w:w="2133" w:type="dxa"/>
            <w:vAlign w:val="center"/>
          </w:tcPr>
          <w:p w14:paraId="096C3606" w14:textId="77777777" w:rsidR="002256CD" w:rsidRPr="002256CD" w:rsidRDefault="002256CD" w:rsidP="002256CD">
            <w:pPr>
              <w:spacing w:line="276" w:lineRule="auto"/>
              <w:jc w:val="center"/>
              <w:rPr>
                <w:b/>
                <w:bCs/>
                <w:sz w:val="20"/>
                <w:szCs w:val="20"/>
              </w:rPr>
            </w:pPr>
            <w:r w:rsidRPr="002256CD">
              <w:rPr>
                <w:b/>
                <w:bCs/>
                <w:sz w:val="20"/>
                <w:szCs w:val="20"/>
              </w:rPr>
              <w:t>Analyse de la faisabilité</w:t>
            </w:r>
          </w:p>
        </w:tc>
        <w:tc>
          <w:tcPr>
            <w:tcW w:w="8784" w:type="dxa"/>
            <w:gridSpan w:val="4"/>
          </w:tcPr>
          <w:p w14:paraId="176146F2" w14:textId="77777777" w:rsidR="002256CD" w:rsidRPr="002256CD" w:rsidRDefault="002256CD" w:rsidP="002256CD">
            <w:pPr>
              <w:spacing w:line="276" w:lineRule="auto"/>
              <w:jc w:val="both"/>
              <w:rPr>
                <w:sz w:val="20"/>
                <w:szCs w:val="20"/>
              </w:rPr>
            </w:pPr>
            <w:r w:rsidRPr="002256CD">
              <w:rPr>
                <w:sz w:val="20"/>
                <w:szCs w:val="20"/>
              </w:rPr>
              <w:t>La faisabilité de l’opération est analysée au regard de :</w:t>
            </w:r>
          </w:p>
          <w:p w14:paraId="09EB5F53" w14:textId="77777777" w:rsidR="002256CD" w:rsidRPr="002256CD" w:rsidRDefault="002256CD" w:rsidP="002256CD">
            <w:pPr>
              <w:spacing w:line="276" w:lineRule="auto"/>
              <w:jc w:val="both"/>
              <w:rPr>
                <w:sz w:val="20"/>
                <w:szCs w:val="20"/>
              </w:rPr>
            </w:pPr>
            <w:r w:rsidRPr="002256CD">
              <w:rPr>
                <w:sz w:val="20"/>
                <w:szCs w:val="20"/>
              </w:rPr>
              <w:t>- la capacité financière de l’opérateur à avancer les dépenses dans l’attente du remboursement de l’aide FSE+ ;</w:t>
            </w:r>
          </w:p>
          <w:p w14:paraId="25B4A97A" w14:textId="77777777" w:rsidR="002256CD" w:rsidRPr="002256CD" w:rsidRDefault="002256CD" w:rsidP="002256CD">
            <w:pPr>
              <w:spacing w:line="276" w:lineRule="auto"/>
              <w:jc w:val="both"/>
              <w:rPr>
                <w:sz w:val="20"/>
                <w:szCs w:val="20"/>
              </w:rPr>
            </w:pPr>
            <w:r w:rsidRPr="002256CD">
              <w:rPr>
                <w:sz w:val="20"/>
                <w:szCs w:val="20"/>
              </w:rPr>
              <w:t>- la capacité de l’opérateur à mettre en œuvre les moyens nécessaires, humains et administratifs, pour assurer la bonne gestion de l’aide FSE+ ;</w:t>
            </w:r>
          </w:p>
          <w:p w14:paraId="1ED67B40" w14:textId="77777777" w:rsidR="002256CD" w:rsidRPr="002256CD" w:rsidRDefault="002256CD" w:rsidP="002256CD">
            <w:pPr>
              <w:spacing w:line="276" w:lineRule="auto"/>
              <w:jc w:val="both"/>
              <w:rPr>
                <w:sz w:val="20"/>
                <w:szCs w:val="20"/>
              </w:rPr>
            </w:pPr>
            <w:r w:rsidRPr="002256CD">
              <w:rPr>
                <w:sz w:val="20"/>
                <w:szCs w:val="20"/>
              </w:rPr>
              <w:t>- la capacité de l’opérateur à respecter les obligations communautaires en termes de publicité ;</w:t>
            </w:r>
          </w:p>
          <w:p w14:paraId="2542F622" w14:textId="77777777" w:rsidR="002256CD" w:rsidRPr="002256CD" w:rsidRDefault="002256CD" w:rsidP="002256CD">
            <w:pPr>
              <w:spacing w:line="276" w:lineRule="auto"/>
              <w:jc w:val="both"/>
              <w:rPr>
                <w:sz w:val="20"/>
                <w:szCs w:val="20"/>
              </w:rPr>
            </w:pPr>
            <w:r w:rsidRPr="002256CD">
              <w:rPr>
                <w:sz w:val="20"/>
                <w:szCs w:val="20"/>
              </w:rPr>
              <w:t>- la capacité de l’opérateur à contribuer à l’atteinte des indicateurs de réalisation et de résultat.</w:t>
            </w:r>
          </w:p>
        </w:tc>
      </w:tr>
      <w:tr w:rsidR="002256CD" w:rsidRPr="002256CD" w14:paraId="51946280" w14:textId="77777777" w:rsidTr="006002A6">
        <w:trPr>
          <w:gridAfter w:val="1"/>
          <w:wAfter w:w="409" w:type="dxa"/>
          <w:trHeight w:val="553"/>
        </w:trPr>
        <w:tc>
          <w:tcPr>
            <w:tcW w:w="10932" w:type="dxa"/>
            <w:gridSpan w:val="6"/>
            <w:shd w:val="clear" w:color="auto" w:fill="B4C6E7" w:themeFill="accent1" w:themeFillTint="66"/>
            <w:vAlign w:val="center"/>
          </w:tcPr>
          <w:p w14:paraId="505B1729" w14:textId="77777777" w:rsidR="002256CD" w:rsidRPr="002256CD" w:rsidRDefault="002256CD" w:rsidP="002256CD">
            <w:pPr>
              <w:spacing w:line="276" w:lineRule="auto"/>
              <w:jc w:val="center"/>
              <w:rPr>
                <w:b/>
                <w:bCs/>
                <w:sz w:val="22"/>
                <w:szCs w:val="22"/>
              </w:rPr>
            </w:pPr>
            <w:r w:rsidRPr="002256CD">
              <w:rPr>
                <w:b/>
                <w:bCs/>
                <w:sz w:val="28"/>
                <w:szCs w:val="28"/>
              </w:rPr>
              <w:t>Modalités de mise en œuvre</w:t>
            </w:r>
          </w:p>
        </w:tc>
      </w:tr>
      <w:tr w:rsidR="002256CD" w:rsidRPr="002256CD" w14:paraId="1C028400" w14:textId="77777777" w:rsidTr="006002A6">
        <w:trPr>
          <w:gridAfter w:val="2"/>
          <w:wAfter w:w="424" w:type="dxa"/>
          <w:trHeight w:val="478"/>
        </w:trPr>
        <w:tc>
          <w:tcPr>
            <w:tcW w:w="2133" w:type="dxa"/>
            <w:vAlign w:val="center"/>
          </w:tcPr>
          <w:p w14:paraId="4493A3D6" w14:textId="77777777" w:rsidR="002256CD" w:rsidRPr="002256CD" w:rsidRDefault="002256CD" w:rsidP="002256CD">
            <w:pPr>
              <w:spacing w:line="276" w:lineRule="auto"/>
              <w:jc w:val="center"/>
              <w:rPr>
                <w:b/>
                <w:bCs/>
                <w:sz w:val="20"/>
                <w:szCs w:val="20"/>
              </w:rPr>
            </w:pPr>
            <w:r w:rsidRPr="002256CD">
              <w:rPr>
                <w:b/>
                <w:bCs/>
                <w:sz w:val="20"/>
                <w:szCs w:val="20"/>
              </w:rPr>
              <w:t>Taux d’intervention FSE+</w:t>
            </w:r>
          </w:p>
        </w:tc>
        <w:tc>
          <w:tcPr>
            <w:tcW w:w="8784" w:type="dxa"/>
            <w:gridSpan w:val="4"/>
            <w:vAlign w:val="center"/>
          </w:tcPr>
          <w:p w14:paraId="6F0132B0" w14:textId="0A0958D2" w:rsidR="002256CD" w:rsidRPr="002256CD" w:rsidRDefault="002256CD" w:rsidP="002256CD">
            <w:pPr>
              <w:spacing w:line="276" w:lineRule="auto"/>
              <w:jc w:val="both"/>
              <w:rPr>
                <w:sz w:val="22"/>
                <w:szCs w:val="22"/>
                <w:vertAlign w:val="superscript"/>
              </w:rPr>
            </w:pPr>
            <w:r w:rsidRPr="002256CD">
              <w:rPr>
                <w:sz w:val="20"/>
                <w:szCs w:val="20"/>
              </w:rPr>
              <w:t>Le taux d’intervention du FSE+ doit être compris entre 30 % minimum et 40 % maximum du coût total éligible de l’opération au moment du dépôt de la demande de subvention et à l’issue de l’instruction après ajustement éventuel du plan de financement.</w:t>
            </w:r>
          </w:p>
        </w:tc>
      </w:tr>
      <w:tr w:rsidR="002256CD" w:rsidRPr="002256CD" w14:paraId="49A6C791" w14:textId="77777777" w:rsidTr="006002A6">
        <w:trPr>
          <w:gridAfter w:val="2"/>
          <w:wAfter w:w="424" w:type="dxa"/>
          <w:trHeight w:val="478"/>
        </w:trPr>
        <w:tc>
          <w:tcPr>
            <w:tcW w:w="2133" w:type="dxa"/>
            <w:vAlign w:val="center"/>
          </w:tcPr>
          <w:p w14:paraId="278EA36E" w14:textId="77777777" w:rsidR="002256CD" w:rsidRPr="002256CD" w:rsidRDefault="002256CD" w:rsidP="002256CD">
            <w:pPr>
              <w:spacing w:line="276" w:lineRule="auto"/>
              <w:jc w:val="center"/>
              <w:rPr>
                <w:b/>
                <w:bCs/>
                <w:sz w:val="20"/>
                <w:szCs w:val="20"/>
              </w:rPr>
            </w:pPr>
            <w:r w:rsidRPr="002256CD">
              <w:rPr>
                <w:b/>
                <w:bCs/>
                <w:sz w:val="20"/>
                <w:szCs w:val="20"/>
              </w:rPr>
              <w:t>Coût total éligible</w:t>
            </w:r>
          </w:p>
        </w:tc>
        <w:tc>
          <w:tcPr>
            <w:tcW w:w="8784" w:type="dxa"/>
            <w:gridSpan w:val="4"/>
            <w:vAlign w:val="center"/>
          </w:tcPr>
          <w:p w14:paraId="26208BFA" w14:textId="21C9C244" w:rsidR="002256CD" w:rsidRPr="002256CD" w:rsidRDefault="002256CD" w:rsidP="002256CD">
            <w:pPr>
              <w:spacing w:line="276" w:lineRule="auto"/>
              <w:jc w:val="both"/>
              <w:rPr>
                <w:sz w:val="22"/>
                <w:szCs w:val="22"/>
              </w:rPr>
            </w:pPr>
            <w:r w:rsidRPr="002256CD">
              <w:rPr>
                <w:sz w:val="20"/>
                <w:szCs w:val="20"/>
              </w:rPr>
              <w:t xml:space="preserve">Le coût total </w:t>
            </w:r>
            <w:r w:rsidRPr="000434F2">
              <w:rPr>
                <w:sz w:val="20"/>
                <w:szCs w:val="20"/>
              </w:rPr>
              <w:t>éligible retenu par l’</w:t>
            </w:r>
            <w:r w:rsidR="001A5E72">
              <w:rPr>
                <w:sz w:val="20"/>
                <w:szCs w:val="20"/>
              </w:rPr>
              <w:t>OI de la CCIR</w:t>
            </w:r>
            <w:r w:rsidRPr="000434F2">
              <w:rPr>
                <w:sz w:val="20"/>
                <w:szCs w:val="20"/>
              </w:rPr>
              <w:t xml:space="preserve"> ne peut pas être inférieur à </w:t>
            </w:r>
            <w:r w:rsidR="000434F2" w:rsidRPr="000434F2">
              <w:rPr>
                <w:sz w:val="20"/>
                <w:szCs w:val="20"/>
              </w:rPr>
              <w:t>10</w:t>
            </w:r>
            <w:r w:rsidRPr="000434F2">
              <w:rPr>
                <w:sz w:val="20"/>
                <w:szCs w:val="20"/>
              </w:rPr>
              <w:t xml:space="preserve">0 000 EUR sur une opération </w:t>
            </w:r>
            <w:r w:rsidR="001A5E72">
              <w:rPr>
                <w:sz w:val="20"/>
                <w:szCs w:val="20"/>
              </w:rPr>
              <w:t>en moyenne</w:t>
            </w:r>
            <w:r w:rsidRPr="000434F2">
              <w:rPr>
                <w:sz w:val="20"/>
                <w:szCs w:val="20"/>
              </w:rPr>
              <w:t xml:space="preserve"> annuelle.</w:t>
            </w:r>
            <w:r w:rsidRPr="002256CD">
              <w:rPr>
                <w:sz w:val="20"/>
                <w:szCs w:val="20"/>
              </w:rPr>
              <w:t xml:space="preserve"> </w:t>
            </w:r>
          </w:p>
        </w:tc>
      </w:tr>
      <w:tr w:rsidR="002256CD" w:rsidRPr="002256CD" w14:paraId="07E28F12" w14:textId="77777777" w:rsidTr="006002A6">
        <w:trPr>
          <w:gridAfter w:val="2"/>
          <w:wAfter w:w="424" w:type="dxa"/>
          <w:trHeight w:val="413"/>
        </w:trPr>
        <w:tc>
          <w:tcPr>
            <w:tcW w:w="2133" w:type="dxa"/>
            <w:vMerge w:val="restart"/>
            <w:vAlign w:val="center"/>
          </w:tcPr>
          <w:p w14:paraId="1E42E609" w14:textId="77777777" w:rsidR="002256CD" w:rsidRPr="002256CD" w:rsidRDefault="002256CD" w:rsidP="002256CD">
            <w:pPr>
              <w:spacing w:line="276" w:lineRule="auto"/>
              <w:jc w:val="center"/>
              <w:rPr>
                <w:b/>
                <w:bCs/>
                <w:sz w:val="20"/>
                <w:szCs w:val="20"/>
              </w:rPr>
            </w:pPr>
            <w:r w:rsidRPr="002256CD">
              <w:rPr>
                <w:b/>
                <w:bCs/>
                <w:sz w:val="20"/>
                <w:szCs w:val="20"/>
              </w:rPr>
              <w:t>Options de coûts simplifiés (OCS)</w:t>
            </w:r>
          </w:p>
        </w:tc>
        <w:tc>
          <w:tcPr>
            <w:tcW w:w="1559" w:type="dxa"/>
            <w:vAlign w:val="center"/>
          </w:tcPr>
          <w:p w14:paraId="077FB161" w14:textId="77777777" w:rsidR="002256CD" w:rsidRPr="002256CD" w:rsidRDefault="002256CD" w:rsidP="002256CD">
            <w:pPr>
              <w:spacing w:line="276" w:lineRule="auto"/>
              <w:jc w:val="both"/>
              <w:rPr>
                <w:sz w:val="20"/>
                <w:szCs w:val="20"/>
              </w:rPr>
            </w:pPr>
            <w:r w:rsidRPr="002256CD">
              <w:rPr>
                <w:sz w:val="20"/>
                <w:szCs w:val="20"/>
              </w:rPr>
              <w:t>OCS règlementaires</w:t>
            </w:r>
          </w:p>
        </w:tc>
        <w:tc>
          <w:tcPr>
            <w:tcW w:w="7225" w:type="dxa"/>
            <w:gridSpan w:val="3"/>
            <w:vAlign w:val="center"/>
          </w:tcPr>
          <w:p w14:paraId="48C47C00" w14:textId="0AC863B5" w:rsidR="002256CD" w:rsidRPr="002256CD" w:rsidRDefault="006002A6" w:rsidP="002256CD">
            <w:pPr>
              <w:spacing w:line="276" w:lineRule="auto"/>
              <w:jc w:val="both"/>
              <w:rPr>
                <w:sz w:val="20"/>
                <w:szCs w:val="20"/>
              </w:rPr>
            </w:pPr>
            <w:r>
              <w:rPr>
                <w:sz w:val="20"/>
                <w:szCs w:val="20"/>
              </w:rPr>
              <w:t xml:space="preserve">Taux forfaitaires de </w:t>
            </w:r>
            <w:r w:rsidR="002256CD" w:rsidRPr="002256CD">
              <w:rPr>
                <w:sz w:val="20"/>
                <w:szCs w:val="20"/>
              </w:rPr>
              <w:t>15 %</w:t>
            </w:r>
            <w:r>
              <w:rPr>
                <w:sz w:val="20"/>
                <w:szCs w:val="20"/>
              </w:rPr>
              <w:t xml:space="preserve"> ou</w:t>
            </w:r>
            <w:r w:rsidR="002256CD" w:rsidRPr="002256CD">
              <w:rPr>
                <w:sz w:val="20"/>
                <w:szCs w:val="20"/>
              </w:rPr>
              <w:t xml:space="preserve"> 40 %. </w:t>
            </w:r>
          </w:p>
          <w:p w14:paraId="34D5FAD2" w14:textId="77777777" w:rsidR="002256CD" w:rsidRPr="002256CD" w:rsidRDefault="002256CD" w:rsidP="002256CD">
            <w:pPr>
              <w:spacing w:line="276" w:lineRule="auto"/>
              <w:jc w:val="both"/>
              <w:rPr>
                <w:sz w:val="20"/>
                <w:szCs w:val="20"/>
              </w:rPr>
            </w:pPr>
          </w:p>
          <w:p w14:paraId="5CD6B809" w14:textId="1A81F7F8" w:rsidR="006002A6" w:rsidRPr="006002A6" w:rsidRDefault="002256CD" w:rsidP="006002A6">
            <w:pPr>
              <w:spacing w:line="276" w:lineRule="auto"/>
              <w:jc w:val="both"/>
              <w:rPr>
                <w:sz w:val="20"/>
                <w:szCs w:val="20"/>
              </w:rPr>
            </w:pPr>
            <w:r w:rsidRPr="002256CD">
              <w:rPr>
                <w:sz w:val="20"/>
                <w:szCs w:val="20"/>
              </w:rPr>
              <w:t xml:space="preserve">Ces </w:t>
            </w:r>
            <w:r w:rsidRPr="006002A6">
              <w:rPr>
                <w:sz w:val="20"/>
                <w:szCs w:val="20"/>
              </w:rPr>
              <w:t xml:space="preserve">options de coûts simplifiés règlementaires sont développées dans la Partie 3, Fiche méthode 2 </w:t>
            </w:r>
            <w:r w:rsidRPr="006002A6">
              <w:rPr>
                <w:i/>
                <w:iCs/>
                <w:sz w:val="20"/>
                <w:szCs w:val="20"/>
              </w:rPr>
              <w:t>« Le financement et le paiement de l’aide européenne »</w:t>
            </w:r>
            <w:r w:rsidR="006002A6" w:rsidRPr="006002A6">
              <w:rPr>
                <w:i/>
                <w:iCs/>
                <w:sz w:val="20"/>
                <w:szCs w:val="20"/>
              </w:rPr>
              <w:t xml:space="preserve"> </w:t>
            </w:r>
            <w:r w:rsidR="006002A6" w:rsidRPr="006002A6">
              <w:rPr>
                <w:sz w:val="20"/>
                <w:szCs w:val="20"/>
              </w:rPr>
              <w:t>du "</w:t>
            </w:r>
            <w:r w:rsidR="006002A6" w:rsidRPr="006002A6">
              <w:rPr>
                <w:i/>
                <w:iCs/>
                <w:color w:val="0000FF"/>
                <w:sz w:val="20"/>
                <w:szCs w:val="20"/>
              </w:rPr>
              <w:t xml:space="preserve">guide méthodologique de mise en </w:t>
            </w:r>
            <w:proofErr w:type="spellStart"/>
            <w:r w:rsidR="006002A6" w:rsidRPr="006002A6">
              <w:rPr>
                <w:i/>
                <w:iCs/>
                <w:color w:val="0000FF"/>
                <w:sz w:val="20"/>
                <w:szCs w:val="20"/>
              </w:rPr>
              <w:t>oeuvre</w:t>
            </w:r>
            <w:proofErr w:type="spellEnd"/>
            <w:r w:rsidR="006002A6" w:rsidRPr="006002A6">
              <w:rPr>
                <w:sz w:val="20"/>
                <w:szCs w:val="20"/>
              </w:rPr>
              <w:t xml:space="preserve">". </w:t>
            </w:r>
          </w:p>
          <w:p w14:paraId="10041692" w14:textId="2BD1C003" w:rsidR="002256CD" w:rsidRPr="002256CD" w:rsidRDefault="002256CD" w:rsidP="002256CD">
            <w:pPr>
              <w:spacing w:line="276" w:lineRule="auto"/>
              <w:jc w:val="both"/>
              <w:rPr>
                <w:sz w:val="20"/>
                <w:szCs w:val="20"/>
              </w:rPr>
            </w:pPr>
          </w:p>
        </w:tc>
      </w:tr>
      <w:tr w:rsidR="002256CD" w:rsidRPr="002256CD" w14:paraId="7ADA557D" w14:textId="77777777" w:rsidTr="006002A6">
        <w:trPr>
          <w:gridAfter w:val="2"/>
          <w:wAfter w:w="424" w:type="dxa"/>
          <w:trHeight w:val="318"/>
        </w:trPr>
        <w:tc>
          <w:tcPr>
            <w:tcW w:w="2133" w:type="dxa"/>
            <w:vMerge/>
          </w:tcPr>
          <w:p w14:paraId="19976994" w14:textId="77777777" w:rsidR="002256CD" w:rsidRPr="002256CD" w:rsidRDefault="002256CD" w:rsidP="002256CD">
            <w:pPr>
              <w:numPr>
                <w:ilvl w:val="0"/>
                <w:numId w:val="2"/>
              </w:numPr>
              <w:spacing w:line="276" w:lineRule="auto"/>
              <w:jc w:val="center"/>
              <w:rPr>
                <w:b/>
                <w:bCs/>
                <w:sz w:val="20"/>
                <w:szCs w:val="20"/>
              </w:rPr>
            </w:pPr>
          </w:p>
        </w:tc>
        <w:tc>
          <w:tcPr>
            <w:tcW w:w="1559" w:type="dxa"/>
            <w:vAlign w:val="center"/>
          </w:tcPr>
          <w:p w14:paraId="60BA038B" w14:textId="77777777" w:rsidR="002256CD" w:rsidRPr="002256CD" w:rsidRDefault="002256CD" w:rsidP="002256CD">
            <w:pPr>
              <w:spacing w:line="276" w:lineRule="auto"/>
              <w:jc w:val="both"/>
              <w:rPr>
                <w:sz w:val="20"/>
                <w:szCs w:val="20"/>
              </w:rPr>
            </w:pPr>
            <w:r w:rsidRPr="002256CD">
              <w:rPr>
                <w:sz w:val="20"/>
                <w:szCs w:val="20"/>
              </w:rPr>
              <w:t>OCS spécifiques</w:t>
            </w:r>
          </w:p>
        </w:tc>
        <w:tc>
          <w:tcPr>
            <w:tcW w:w="7225" w:type="dxa"/>
            <w:gridSpan w:val="3"/>
            <w:vAlign w:val="center"/>
          </w:tcPr>
          <w:p w14:paraId="78F25985" w14:textId="77777777" w:rsidR="006002A6" w:rsidRDefault="006002A6" w:rsidP="006002A6">
            <w:pPr>
              <w:pStyle w:val="Default"/>
              <w:rPr>
                <w:sz w:val="20"/>
                <w:szCs w:val="20"/>
              </w:rPr>
            </w:pPr>
            <w:r>
              <w:rPr>
                <w:sz w:val="20"/>
                <w:szCs w:val="20"/>
              </w:rPr>
              <w:t>BSCU relatif aux dépenses de personnel affecté directement à la réalisation de l’opération (sauf stagiaires, apprentis et bénévoles). Il correspond au coût horaire unitaire déterminé et validé par l’</w:t>
            </w:r>
            <w:proofErr w:type="spellStart"/>
            <w:r>
              <w:rPr>
                <w:sz w:val="20"/>
                <w:szCs w:val="20"/>
              </w:rPr>
              <w:t>AnAFe</w:t>
            </w:r>
            <w:proofErr w:type="spellEnd"/>
            <w:r>
              <w:rPr>
                <w:sz w:val="20"/>
                <w:szCs w:val="20"/>
              </w:rPr>
              <w:t xml:space="preserve"> sur la base des données historiques selon le domaine d’activité de l’opération. </w:t>
            </w:r>
          </w:p>
          <w:p w14:paraId="04614D7D" w14:textId="77777777" w:rsidR="006002A6" w:rsidRDefault="006002A6" w:rsidP="006002A6">
            <w:pPr>
              <w:rPr>
                <w:sz w:val="20"/>
                <w:szCs w:val="20"/>
              </w:rPr>
            </w:pPr>
            <w:r>
              <w:rPr>
                <w:sz w:val="20"/>
                <w:szCs w:val="20"/>
              </w:rPr>
              <w:t xml:space="preserve">Le tableau ci-après présente les coûts unitaires qui seront appliqués au titre des opérations de cet appel à projets. </w:t>
            </w:r>
          </w:p>
          <w:p w14:paraId="49730458" w14:textId="77777777" w:rsidR="006002A6" w:rsidRDefault="006002A6" w:rsidP="006002A6">
            <w:pPr>
              <w:rPr>
                <w:sz w:val="20"/>
                <w:szCs w:val="20"/>
              </w:rPr>
            </w:pPr>
          </w:p>
          <w:p w14:paraId="60D90004" w14:textId="77777777" w:rsidR="00F512D7" w:rsidRPr="00F512D7" w:rsidRDefault="00F512D7" w:rsidP="00F512D7">
            <w:pPr>
              <w:rPr>
                <w:sz w:val="20"/>
                <w:szCs w:val="20"/>
              </w:rPr>
            </w:pPr>
          </w:p>
          <w:tbl>
            <w:tblPr>
              <w:tblW w:w="6976"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29"/>
              <w:gridCol w:w="986"/>
              <w:gridCol w:w="1134"/>
              <w:gridCol w:w="992"/>
              <w:gridCol w:w="1276"/>
              <w:gridCol w:w="1559"/>
            </w:tblGrid>
            <w:tr w:rsidR="00F512D7" w:rsidRPr="00F512D7" w14:paraId="708FBA10" w14:textId="77777777" w:rsidTr="00F512D7">
              <w:trPr>
                <w:trHeight w:val="269"/>
              </w:trPr>
              <w:tc>
                <w:tcPr>
                  <w:tcW w:w="1029" w:type="dxa"/>
                  <w:vMerge w:val="restart"/>
                  <w:tcBorders>
                    <w:top w:val="single" w:sz="6" w:space="0" w:color="auto"/>
                    <w:left w:val="single" w:sz="6" w:space="0" w:color="auto"/>
                    <w:bottom w:val="single" w:sz="6" w:space="0" w:color="auto"/>
                    <w:right w:val="single" w:sz="6" w:space="0" w:color="auto"/>
                  </w:tcBorders>
                  <w:shd w:val="clear" w:color="auto" w:fill="BDD6EE"/>
                  <w:vAlign w:val="center"/>
                  <w:hideMark/>
                </w:tcPr>
                <w:p w14:paraId="0BC2405E" w14:textId="2F3BD0D2" w:rsidR="00F512D7" w:rsidRPr="00F512D7" w:rsidRDefault="00F512D7" w:rsidP="00F512D7">
                  <w:pPr>
                    <w:rPr>
                      <w:sz w:val="16"/>
                      <w:szCs w:val="16"/>
                    </w:rPr>
                  </w:pPr>
                  <w:r>
                    <w:rPr>
                      <w:sz w:val="16"/>
                      <w:szCs w:val="16"/>
                    </w:rPr>
                    <w:t>Priorité 4 – Une Europe plus sociale</w:t>
                  </w:r>
                </w:p>
              </w:tc>
              <w:tc>
                <w:tcPr>
                  <w:tcW w:w="986" w:type="dxa"/>
                  <w:tcBorders>
                    <w:top w:val="single" w:sz="6" w:space="0" w:color="auto"/>
                    <w:left w:val="single" w:sz="6" w:space="0" w:color="auto"/>
                    <w:bottom w:val="single" w:sz="6" w:space="0" w:color="auto"/>
                    <w:right w:val="single" w:sz="6" w:space="0" w:color="auto"/>
                  </w:tcBorders>
                  <w:shd w:val="clear" w:color="auto" w:fill="BDD6EE"/>
                  <w:hideMark/>
                </w:tcPr>
                <w:p w14:paraId="362C073A" w14:textId="3F843EDA" w:rsidR="00F512D7" w:rsidRPr="00F512D7" w:rsidRDefault="00F512D7" w:rsidP="00F512D7">
                  <w:pPr>
                    <w:jc w:val="center"/>
                    <w:rPr>
                      <w:sz w:val="16"/>
                      <w:szCs w:val="16"/>
                    </w:rPr>
                  </w:pPr>
                  <w:r>
                    <w:rPr>
                      <w:sz w:val="16"/>
                      <w:szCs w:val="16"/>
                    </w:rPr>
                    <w:t>Objectif spécifique</w:t>
                  </w:r>
                </w:p>
              </w:tc>
              <w:tc>
                <w:tcPr>
                  <w:tcW w:w="1134" w:type="dxa"/>
                  <w:tcBorders>
                    <w:top w:val="single" w:sz="6" w:space="0" w:color="auto"/>
                    <w:left w:val="single" w:sz="6" w:space="0" w:color="auto"/>
                    <w:bottom w:val="single" w:sz="6" w:space="0" w:color="auto"/>
                    <w:right w:val="single" w:sz="6" w:space="0" w:color="auto"/>
                  </w:tcBorders>
                  <w:shd w:val="clear" w:color="auto" w:fill="BDD6EE"/>
                  <w:hideMark/>
                </w:tcPr>
                <w:p w14:paraId="6715FEFF" w14:textId="5335A709" w:rsidR="00F512D7" w:rsidRPr="00F512D7" w:rsidRDefault="00F512D7" w:rsidP="00F512D7">
                  <w:pPr>
                    <w:jc w:val="center"/>
                    <w:rPr>
                      <w:sz w:val="16"/>
                      <w:szCs w:val="16"/>
                    </w:rPr>
                  </w:pPr>
                  <w:r w:rsidRPr="00F512D7">
                    <w:rPr>
                      <w:sz w:val="16"/>
                      <w:szCs w:val="16"/>
                    </w:rPr>
                    <w:t>Type d’indice INSEE</w:t>
                  </w:r>
                </w:p>
              </w:tc>
              <w:tc>
                <w:tcPr>
                  <w:tcW w:w="992" w:type="dxa"/>
                  <w:tcBorders>
                    <w:top w:val="single" w:sz="6" w:space="0" w:color="auto"/>
                    <w:left w:val="single" w:sz="6" w:space="0" w:color="auto"/>
                    <w:bottom w:val="single" w:sz="6" w:space="0" w:color="auto"/>
                    <w:right w:val="single" w:sz="6" w:space="0" w:color="auto"/>
                  </w:tcBorders>
                  <w:shd w:val="clear" w:color="auto" w:fill="BDD6EE"/>
                  <w:hideMark/>
                </w:tcPr>
                <w:p w14:paraId="51E4653C" w14:textId="2E74D5AA" w:rsidR="00F512D7" w:rsidRPr="00F512D7" w:rsidRDefault="00F512D7" w:rsidP="00F512D7">
                  <w:pPr>
                    <w:jc w:val="center"/>
                    <w:rPr>
                      <w:sz w:val="16"/>
                      <w:szCs w:val="16"/>
                    </w:rPr>
                  </w:pPr>
                  <w:r w:rsidRPr="00F512D7">
                    <w:rPr>
                      <w:sz w:val="16"/>
                      <w:szCs w:val="16"/>
                    </w:rPr>
                    <w:t>Indice d</w:t>
                  </w:r>
                  <w:r>
                    <w:rPr>
                      <w:sz w:val="16"/>
                      <w:szCs w:val="16"/>
                    </w:rPr>
                    <w:t>écembre 2024</w:t>
                  </w:r>
                </w:p>
              </w:tc>
              <w:tc>
                <w:tcPr>
                  <w:tcW w:w="1276" w:type="dxa"/>
                  <w:tcBorders>
                    <w:top w:val="single" w:sz="6" w:space="0" w:color="auto"/>
                    <w:left w:val="single" w:sz="6" w:space="0" w:color="auto"/>
                    <w:bottom w:val="single" w:sz="6" w:space="0" w:color="auto"/>
                    <w:right w:val="single" w:sz="6" w:space="0" w:color="auto"/>
                  </w:tcBorders>
                  <w:shd w:val="clear" w:color="auto" w:fill="BDD6EE"/>
                  <w:hideMark/>
                </w:tcPr>
                <w:p w14:paraId="792A011F" w14:textId="69EA3C88" w:rsidR="00F512D7" w:rsidRPr="00F512D7" w:rsidRDefault="00F512D7" w:rsidP="00F512D7">
                  <w:pPr>
                    <w:jc w:val="center"/>
                    <w:rPr>
                      <w:sz w:val="16"/>
                      <w:szCs w:val="16"/>
                    </w:rPr>
                  </w:pPr>
                  <w:r w:rsidRPr="00F512D7">
                    <w:rPr>
                      <w:sz w:val="16"/>
                      <w:szCs w:val="16"/>
                    </w:rPr>
                    <w:t xml:space="preserve">Coût </w:t>
                  </w:r>
                  <w:r>
                    <w:rPr>
                      <w:sz w:val="16"/>
                      <w:szCs w:val="16"/>
                    </w:rPr>
                    <w:t>unitaire (horaire) 01/04/2025</w:t>
                  </w:r>
                </w:p>
              </w:tc>
              <w:tc>
                <w:tcPr>
                  <w:tcW w:w="1559" w:type="dxa"/>
                  <w:tcBorders>
                    <w:top w:val="single" w:sz="6" w:space="0" w:color="auto"/>
                    <w:left w:val="single" w:sz="6" w:space="0" w:color="auto"/>
                    <w:bottom w:val="single" w:sz="6" w:space="0" w:color="auto"/>
                    <w:right w:val="single" w:sz="6" w:space="0" w:color="auto"/>
                  </w:tcBorders>
                  <w:shd w:val="clear" w:color="auto" w:fill="BDD6EE"/>
                  <w:hideMark/>
                </w:tcPr>
                <w:p w14:paraId="5B79F3ED" w14:textId="4C55DAA9" w:rsidR="00F512D7" w:rsidRPr="00F512D7" w:rsidRDefault="00F512D7" w:rsidP="00F512D7">
                  <w:pPr>
                    <w:jc w:val="center"/>
                    <w:rPr>
                      <w:sz w:val="16"/>
                      <w:szCs w:val="16"/>
                    </w:rPr>
                  </w:pPr>
                  <w:r>
                    <w:rPr>
                      <w:sz w:val="16"/>
                      <w:szCs w:val="16"/>
                    </w:rPr>
                    <w:t>Plafond heures travaillées/an</w:t>
                  </w:r>
                </w:p>
              </w:tc>
            </w:tr>
            <w:tr w:rsidR="00F512D7" w:rsidRPr="00F512D7" w14:paraId="04574D52" w14:textId="77777777" w:rsidTr="00F512D7">
              <w:trPr>
                <w:trHeight w:val="269"/>
              </w:trPr>
              <w:tc>
                <w:tcPr>
                  <w:tcW w:w="1029" w:type="dxa"/>
                  <w:vMerge/>
                  <w:tcBorders>
                    <w:top w:val="single" w:sz="6" w:space="0" w:color="auto"/>
                    <w:left w:val="single" w:sz="6" w:space="0" w:color="auto"/>
                    <w:bottom w:val="single" w:sz="6" w:space="0" w:color="auto"/>
                    <w:right w:val="single" w:sz="6" w:space="0" w:color="auto"/>
                  </w:tcBorders>
                  <w:vAlign w:val="center"/>
                  <w:hideMark/>
                </w:tcPr>
                <w:p w14:paraId="54E1F863" w14:textId="77777777" w:rsidR="00F512D7" w:rsidRPr="00F512D7" w:rsidRDefault="00F512D7" w:rsidP="00F512D7">
                  <w:pPr>
                    <w:rPr>
                      <w:sz w:val="16"/>
                      <w:szCs w:val="16"/>
                    </w:rPr>
                  </w:pPr>
                </w:p>
              </w:tc>
              <w:tc>
                <w:tcPr>
                  <w:tcW w:w="986" w:type="dxa"/>
                  <w:tcBorders>
                    <w:top w:val="single" w:sz="6" w:space="0" w:color="auto"/>
                    <w:left w:val="single" w:sz="6" w:space="0" w:color="auto"/>
                    <w:bottom w:val="single" w:sz="6" w:space="0" w:color="auto"/>
                    <w:right w:val="single" w:sz="6" w:space="0" w:color="auto"/>
                  </w:tcBorders>
                  <w:vAlign w:val="center"/>
                  <w:hideMark/>
                </w:tcPr>
                <w:p w14:paraId="7C02E27A" w14:textId="6823A194" w:rsidR="00F512D7" w:rsidRPr="00F512D7" w:rsidRDefault="00F512D7" w:rsidP="00F512D7">
                  <w:pPr>
                    <w:jc w:val="center"/>
                    <w:rPr>
                      <w:sz w:val="16"/>
                      <w:szCs w:val="16"/>
                    </w:rPr>
                  </w:pPr>
                  <w:r>
                    <w:rPr>
                      <w:sz w:val="16"/>
                      <w:szCs w:val="16"/>
                    </w:rPr>
                    <w:t>OS 4.1 – Emploi indépendant et économie circulaire</w:t>
                  </w:r>
                </w:p>
              </w:tc>
              <w:tc>
                <w:tcPr>
                  <w:tcW w:w="1134" w:type="dxa"/>
                  <w:tcBorders>
                    <w:top w:val="single" w:sz="6" w:space="0" w:color="auto"/>
                    <w:left w:val="single" w:sz="6" w:space="0" w:color="auto"/>
                    <w:bottom w:val="single" w:sz="6" w:space="0" w:color="auto"/>
                    <w:right w:val="single" w:sz="6" w:space="0" w:color="auto"/>
                  </w:tcBorders>
                  <w:vAlign w:val="center"/>
                  <w:hideMark/>
                </w:tcPr>
                <w:p w14:paraId="289F1F3B" w14:textId="77777777" w:rsidR="00F512D7" w:rsidRDefault="00F512D7" w:rsidP="00F512D7">
                  <w:pPr>
                    <w:jc w:val="center"/>
                    <w:rPr>
                      <w:sz w:val="16"/>
                      <w:szCs w:val="16"/>
                    </w:rPr>
                  </w:pPr>
                </w:p>
                <w:p w14:paraId="32BE08D2" w14:textId="3F653495" w:rsidR="00F512D7" w:rsidRDefault="00F512D7" w:rsidP="00F512D7">
                  <w:pPr>
                    <w:jc w:val="center"/>
                    <w:rPr>
                      <w:sz w:val="16"/>
                      <w:szCs w:val="16"/>
                    </w:rPr>
                  </w:pPr>
                  <w:r w:rsidRPr="00F512D7">
                    <w:rPr>
                      <w:sz w:val="16"/>
                      <w:szCs w:val="16"/>
                    </w:rPr>
                    <w:t>Domaine N : activités de services et administratifs et de soutien</w:t>
                  </w:r>
                </w:p>
                <w:p w14:paraId="5B435A8C" w14:textId="14B26FCC" w:rsidR="00F512D7" w:rsidRPr="00F512D7" w:rsidRDefault="00F512D7" w:rsidP="00F512D7">
                  <w:pPr>
                    <w:jc w:val="center"/>
                    <w:rPr>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hideMark/>
                </w:tcPr>
                <w:p w14:paraId="41F5A306" w14:textId="398A2F07" w:rsidR="00F512D7" w:rsidRPr="00F512D7" w:rsidRDefault="00F512D7" w:rsidP="00F512D7">
                  <w:pPr>
                    <w:jc w:val="center"/>
                    <w:rPr>
                      <w:sz w:val="16"/>
                      <w:szCs w:val="16"/>
                    </w:rPr>
                  </w:pPr>
                  <w:r w:rsidRPr="00F512D7">
                    <w:rPr>
                      <w:sz w:val="16"/>
                      <w:szCs w:val="16"/>
                    </w:rPr>
                    <w:t>1</w:t>
                  </w:r>
                  <w:r>
                    <w:rPr>
                      <w:sz w:val="16"/>
                      <w:szCs w:val="16"/>
                    </w:rPr>
                    <w:t>4</w:t>
                  </w:r>
                  <w:r w:rsidRPr="00F512D7">
                    <w:rPr>
                      <w:sz w:val="16"/>
                      <w:szCs w:val="16"/>
                    </w:rPr>
                    <w:t>1,5</w:t>
                  </w:r>
                </w:p>
              </w:tc>
              <w:tc>
                <w:tcPr>
                  <w:tcW w:w="1276" w:type="dxa"/>
                  <w:tcBorders>
                    <w:top w:val="single" w:sz="6" w:space="0" w:color="auto"/>
                    <w:left w:val="single" w:sz="6" w:space="0" w:color="auto"/>
                    <w:bottom w:val="single" w:sz="6" w:space="0" w:color="auto"/>
                    <w:right w:val="single" w:sz="6" w:space="0" w:color="auto"/>
                  </w:tcBorders>
                  <w:shd w:val="clear" w:color="auto" w:fill="E7E6E6"/>
                  <w:vAlign w:val="center"/>
                  <w:hideMark/>
                </w:tcPr>
                <w:p w14:paraId="3692D117" w14:textId="1E782DFE" w:rsidR="00F512D7" w:rsidRPr="00F512D7" w:rsidRDefault="00F512D7" w:rsidP="00F512D7">
                  <w:pPr>
                    <w:jc w:val="center"/>
                    <w:rPr>
                      <w:b/>
                      <w:sz w:val="16"/>
                      <w:szCs w:val="16"/>
                    </w:rPr>
                  </w:pPr>
                  <w:r w:rsidRPr="00F512D7">
                    <w:rPr>
                      <w:b/>
                      <w:sz w:val="16"/>
                      <w:szCs w:val="16"/>
                    </w:rPr>
                    <w:t>3</w:t>
                  </w:r>
                  <w:r>
                    <w:rPr>
                      <w:b/>
                      <w:sz w:val="16"/>
                      <w:szCs w:val="16"/>
                    </w:rPr>
                    <w:t>9,23</w:t>
                  </w:r>
                  <w:r w:rsidRPr="00F512D7">
                    <w:rPr>
                      <w:b/>
                      <w:sz w:val="16"/>
                      <w:szCs w:val="16"/>
                    </w:rPr>
                    <w:t xml:space="preserve"> €</w:t>
                  </w:r>
                </w:p>
              </w:tc>
              <w:tc>
                <w:tcPr>
                  <w:tcW w:w="1559" w:type="dxa"/>
                  <w:tcBorders>
                    <w:top w:val="single" w:sz="6" w:space="0" w:color="auto"/>
                    <w:left w:val="single" w:sz="6" w:space="0" w:color="auto"/>
                    <w:bottom w:val="single" w:sz="6" w:space="0" w:color="auto"/>
                    <w:right w:val="single" w:sz="6" w:space="0" w:color="auto"/>
                  </w:tcBorders>
                  <w:vAlign w:val="center"/>
                  <w:hideMark/>
                </w:tcPr>
                <w:p w14:paraId="396C21BE" w14:textId="7D28A6E2" w:rsidR="00F512D7" w:rsidRPr="00F512D7" w:rsidRDefault="00F512D7" w:rsidP="00F512D7">
                  <w:pPr>
                    <w:jc w:val="center"/>
                    <w:rPr>
                      <w:sz w:val="16"/>
                      <w:szCs w:val="16"/>
                    </w:rPr>
                  </w:pPr>
                  <w:r w:rsidRPr="00F512D7">
                    <w:rPr>
                      <w:sz w:val="16"/>
                      <w:szCs w:val="16"/>
                    </w:rPr>
                    <w:t>1 607 h</w:t>
                  </w:r>
                  <w:r>
                    <w:rPr>
                      <w:sz w:val="16"/>
                      <w:szCs w:val="16"/>
                    </w:rPr>
                    <w:t>eures</w:t>
                  </w:r>
                </w:p>
              </w:tc>
            </w:tr>
          </w:tbl>
          <w:p w14:paraId="243DE75B" w14:textId="77777777" w:rsidR="00F512D7" w:rsidRPr="00F512D7" w:rsidRDefault="00F512D7" w:rsidP="00F512D7">
            <w:pPr>
              <w:rPr>
                <w:sz w:val="20"/>
                <w:szCs w:val="20"/>
              </w:rPr>
            </w:pPr>
          </w:p>
          <w:p w14:paraId="21B00C57" w14:textId="7B7DF1DF" w:rsidR="006002A6" w:rsidRDefault="006002A6" w:rsidP="006002A6">
            <w:pPr>
              <w:pStyle w:val="Default"/>
              <w:rPr>
                <w:b/>
                <w:bCs/>
                <w:sz w:val="20"/>
                <w:szCs w:val="20"/>
              </w:rPr>
            </w:pPr>
            <w:r>
              <w:rPr>
                <w:b/>
                <w:bCs/>
                <w:sz w:val="20"/>
                <w:szCs w:val="20"/>
              </w:rPr>
              <w:t>Il n'y aura pas de révision du coût horaire en cours d'exécution.</w:t>
            </w:r>
          </w:p>
          <w:p w14:paraId="1E7DC97C" w14:textId="77777777" w:rsidR="00F512D7" w:rsidRDefault="00F512D7" w:rsidP="006002A6">
            <w:pPr>
              <w:pStyle w:val="Default"/>
              <w:rPr>
                <w:sz w:val="20"/>
                <w:szCs w:val="20"/>
              </w:rPr>
            </w:pPr>
          </w:p>
          <w:p w14:paraId="79D632A1" w14:textId="5AA76A38" w:rsidR="006002A6" w:rsidRDefault="006002A6" w:rsidP="006002A6">
            <w:pPr>
              <w:pStyle w:val="Default"/>
              <w:rPr>
                <w:sz w:val="20"/>
                <w:szCs w:val="20"/>
              </w:rPr>
            </w:pPr>
            <w:r>
              <w:rPr>
                <w:sz w:val="20"/>
                <w:szCs w:val="20"/>
              </w:rPr>
              <w:t>Les coûts annuels d’un salarié seront plafonnés à 1607 heures.</w:t>
            </w:r>
          </w:p>
          <w:p w14:paraId="77BEC535" w14:textId="77777777" w:rsidR="00F512D7" w:rsidRDefault="00F512D7" w:rsidP="006002A6">
            <w:pPr>
              <w:pStyle w:val="Default"/>
              <w:rPr>
                <w:sz w:val="20"/>
                <w:szCs w:val="20"/>
              </w:rPr>
            </w:pPr>
          </w:p>
          <w:p w14:paraId="29614034" w14:textId="77777777" w:rsidR="006002A6" w:rsidRDefault="006002A6" w:rsidP="006002A6">
            <w:pPr>
              <w:pStyle w:val="Default"/>
              <w:rPr>
                <w:sz w:val="20"/>
                <w:szCs w:val="20"/>
              </w:rPr>
            </w:pPr>
            <w:r>
              <w:rPr>
                <w:sz w:val="20"/>
                <w:szCs w:val="20"/>
              </w:rPr>
              <w:t xml:space="preserve">Par exemple, le coût annuel d’un salarié à temps complet affecté à 100% sur l’opération au titre de la priorité 4 et du domaine N sera égal à : </w:t>
            </w:r>
          </w:p>
          <w:p w14:paraId="6455A78E" w14:textId="07ECD607" w:rsidR="006002A6" w:rsidRDefault="006002A6" w:rsidP="006002A6">
            <w:r>
              <w:rPr>
                <w:sz w:val="20"/>
                <w:szCs w:val="20"/>
              </w:rPr>
              <w:t xml:space="preserve">39,23 €/h x 1 607 h = 62 940,61 €. </w:t>
            </w:r>
          </w:p>
          <w:p w14:paraId="5B26CEDA" w14:textId="2F520764" w:rsidR="002256CD" w:rsidRPr="002256CD" w:rsidRDefault="002256CD" w:rsidP="002256CD">
            <w:pPr>
              <w:spacing w:line="276" w:lineRule="auto"/>
              <w:jc w:val="both"/>
              <w:rPr>
                <w:sz w:val="20"/>
                <w:szCs w:val="20"/>
              </w:rPr>
            </w:pPr>
          </w:p>
        </w:tc>
      </w:tr>
      <w:tr w:rsidR="002256CD" w:rsidRPr="002256CD" w14:paraId="2FEB8143" w14:textId="77777777" w:rsidTr="006002A6">
        <w:trPr>
          <w:gridAfter w:val="2"/>
          <w:wAfter w:w="424" w:type="dxa"/>
          <w:trHeight w:val="980"/>
        </w:trPr>
        <w:tc>
          <w:tcPr>
            <w:tcW w:w="2133" w:type="dxa"/>
            <w:vAlign w:val="center"/>
          </w:tcPr>
          <w:p w14:paraId="250E8383" w14:textId="77777777" w:rsidR="002256CD" w:rsidRPr="002256CD" w:rsidRDefault="002256CD" w:rsidP="002256CD">
            <w:pPr>
              <w:spacing w:line="276" w:lineRule="auto"/>
              <w:jc w:val="center"/>
              <w:rPr>
                <w:b/>
                <w:bCs/>
                <w:sz w:val="20"/>
                <w:szCs w:val="20"/>
              </w:rPr>
            </w:pPr>
            <w:r w:rsidRPr="002256CD">
              <w:rPr>
                <w:b/>
                <w:bCs/>
                <w:sz w:val="20"/>
                <w:szCs w:val="20"/>
              </w:rPr>
              <w:lastRenderedPageBreak/>
              <w:t>Principaux postes de dépenses éligibles</w:t>
            </w:r>
          </w:p>
        </w:tc>
        <w:tc>
          <w:tcPr>
            <w:tcW w:w="8784" w:type="dxa"/>
            <w:gridSpan w:val="4"/>
          </w:tcPr>
          <w:p w14:paraId="38D81008" w14:textId="77777777" w:rsidR="002256CD" w:rsidRPr="002256CD" w:rsidRDefault="002256CD" w:rsidP="002256CD">
            <w:pPr>
              <w:spacing w:line="276" w:lineRule="auto"/>
              <w:jc w:val="both"/>
              <w:rPr>
                <w:sz w:val="20"/>
                <w:szCs w:val="20"/>
              </w:rPr>
            </w:pPr>
            <w:r w:rsidRPr="002256CD">
              <w:rPr>
                <w:sz w:val="20"/>
                <w:szCs w:val="20"/>
              </w:rPr>
              <w:t xml:space="preserve">Les critères d’éligibilité des dépenses sont précisés dans la Partie 3, Fiche méthode 2 </w:t>
            </w:r>
            <w:r w:rsidRPr="002256CD">
              <w:rPr>
                <w:i/>
                <w:iCs/>
                <w:sz w:val="20"/>
                <w:szCs w:val="20"/>
              </w:rPr>
              <w:t xml:space="preserve">« Le financement et le paiement de l’aide européenne ». </w:t>
            </w:r>
            <w:r w:rsidRPr="002256CD">
              <w:rPr>
                <w:sz w:val="20"/>
                <w:szCs w:val="20"/>
              </w:rPr>
              <w:t xml:space="preserve">Ces critères seront également rappelés dans les appels à projets dans l’annexe </w:t>
            </w:r>
            <w:r w:rsidRPr="002256CD">
              <w:rPr>
                <w:i/>
                <w:iCs/>
                <w:sz w:val="20"/>
                <w:szCs w:val="20"/>
              </w:rPr>
              <w:t>« Listes indicatives et non exhaustives de dépenses éligibles ».</w:t>
            </w:r>
            <w:r w:rsidRPr="002256CD">
              <w:rPr>
                <w:sz w:val="20"/>
                <w:szCs w:val="20"/>
              </w:rPr>
              <w:t xml:space="preserve"> </w:t>
            </w:r>
          </w:p>
          <w:p w14:paraId="53EBDBC5" w14:textId="77777777" w:rsidR="002256CD" w:rsidRPr="002256CD" w:rsidRDefault="002256CD" w:rsidP="002256CD">
            <w:pPr>
              <w:spacing w:line="276" w:lineRule="auto"/>
              <w:jc w:val="both"/>
              <w:rPr>
                <w:sz w:val="20"/>
                <w:szCs w:val="20"/>
              </w:rPr>
            </w:pPr>
          </w:p>
          <w:p w14:paraId="18981E4A" w14:textId="77777777" w:rsidR="00F512D7" w:rsidRDefault="00F512D7" w:rsidP="00F512D7">
            <w:pPr>
              <w:pStyle w:val="Default"/>
              <w:jc w:val="both"/>
              <w:rPr>
                <w:sz w:val="20"/>
                <w:szCs w:val="20"/>
              </w:rPr>
            </w:pPr>
            <w:r>
              <w:rPr>
                <w:sz w:val="20"/>
                <w:szCs w:val="20"/>
              </w:rPr>
              <w:t xml:space="preserve">Hormis les exceptions validées par l’autorité de gestion, les dépenses de fonctionnement qui ne sont pas exclusivement dédiées à l’opération ainsi que les dépenses inférieures à 250 € sont intégrées dans un taux forfaitaire (15% ou 40%). </w:t>
            </w:r>
          </w:p>
          <w:p w14:paraId="1A5AFEBE" w14:textId="2F421B2C" w:rsidR="002256CD" w:rsidRPr="002256CD" w:rsidRDefault="002256CD" w:rsidP="002256CD">
            <w:pPr>
              <w:spacing w:line="276" w:lineRule="auto"/>
              <w:jc w:val="both"/>
              <w:rPr>
                <w:sz w:val="20"/>
                <w:szCs w:val="20"/>
              </w:rPr>
            </w:pPr>
          </w:p>
        </w:tc>
      </w:tr>
      <w:tr w:rsidR="002256CD" w:rsidRPr="002256CD" w14:paraId="74CC4B29" w14:textId="77777777" w:rsidTr="006002A6">
        <w:trPr>
          <w:gridAfter w:val="2"/>
          <w:wAfter w:w="424" w:type="dxa"/>
          <w:trHeight w:val="410"/>
        </w:trPr>
        <w:tc>
          <w:tcPr>
            <w:tcW w:w="2133" w:type="dxa"/>
            <w:vMerge w:val="restart"/>
          </w:tcPr>
          <w:p w14:paraId="78CAB0B1" w14:textId="77777777" w:rsidR="002256CD" w:rsidRPr="002256CD" w:rsidRDefault="002256CD" w:rsidP="002256CD">
            <w:pPr>
              <w:spacing w:line="276" w:lineRule="auto"/>
              <w:jc w:val="center"/>
              <w:rPr>
                <w:b/>
                <w:bCs/>
                <w:sz w:val="20"/>
                <w:szCs w:val="20"/>
              </w:rPr>
            </w:pPr>
          </w:p>
          <w:p w14:paraId="12E96FD6" w14:textId="77777777" w:rsidR="002256CD" w:rsidRPr="002256CD" w:rsidRDefault="002256CD" w:rsidP="002256CD">
            <w:pPr>
              <w:spacing w:line="276" w:lineRule="auto"/>
              <w:jc w:val="center"/>
              <w:rPr>
                <w:b/>
                <w:bCs/>
                <w:sz w:val="20"/>
                <w:szCs w:val="20"/>
              </w:rPr>
            </w:pPr>
          </w:p>
          <w:p w14:paraId="20743032" w14:textId="77777777" w:rsidR="002256CD" w:rsidRPr="002256CD" w:rsidRDefault="002256CD" w:rsidP="002256CD">
            <w:pPr>
              <w:spacing w:line="276" w:lineRule="auto"/>
              <w:jc w:val="center"/>
              <w:rPr>
                <w:b/>
                <w:bCs/>
                <w:sz w:val="20"/>
                <w:szCs w:val="20"/>
              </w:rPr>
            </w:pPr>
          </w:p>
          <w:p w14:paraId="2469C4A2" w14:textId="77777777" w:rsidR="002256CD" w:rsidRPr="002256CD" w:rsidRDefault="002256CD" w:rsidP="002256CD">
            <w:pPr>
              <w:spacing w:line="276" w:lineRule="auto"/>
              <w:jc w:val="center"/>
              <w:rPr>
                <w:b/>
                <w:bCs/>
                <w:sz w:val="20"/>
                <w:szCs w:val="20"/>
              </w:rPr>
            </w:pPr>
          </w:p>
          <w:p w14:paraId="08A945DC" w14:textId="77777777" w:rsidR="002256CD" w:rsidRPr="002256CD" w:rsidRDefault="002256CD" w:rsidP="002256CD">
            <w:pPr>
              <w:spacing w:line="276" w:lineRule="auto"/>
              <w:jc w:val="center"/>
              <w:rPr>
                <w:b/>
                <w:bCs/>
                <w:sz w:val="20"/>
                <w:szCs w:val="20"/>
              </w:rPr>
            </w:pPr>
          </w:p>
          <w:p w14:paraId="60E9B594" w14:textId="77777777" w:rsidR="002256CD" w:rsidRPr="002256CD" w:rsidRDefault="002256CD" w:rsidP="002256CD">
            <w:pPr>
              <w:spacing w:line="276" w:lineRule="auto"/>
              <w:jc w:val="center"/>
              <w:rPr>
                <w:b/>
                <w:bCs/>
                <w:sz w:val="20"/>
                <w:szCs w:val="20"/>
              </w:rPr>
            </w:pPr>
          </w:p>
          <w:p w14:paraId="00E7D280" w14:textId="77777777" w:rsidR="002256CD" w:rsidRPr="002256CD" w:rsidRDefault="002256CD" w:rsidP="002256CD">
            <w:pPr>
              <w:spacing w:line="276" w:lineRule="auto"/>
              <w:jc w:val="center"/>
              <w:rPr>
                <w:b/>
                <w:bCs/>
                <w:sz w:val="20"/>
                <w:szCs w:val="20"/>
              </w:rPr>
            </w:pPr>
          </w:p>
          <w:p w14:paraId="588322E9" w14:textId="77777777" w:rsidR="002256CD" w:rsidRPr="002256CD" w:rsidRDefault="002256CD" w:rsidP="002256CD">
            <w:pPr>
              <w:spacing w:line="276" w:lineRule="auto"/>
              <w:jc w:val="center"/>
              <w:rPr>
                <w:b/>
                <w:bCs/>
                <w:sz w:val="20"/>
                <w:szCs w:val="20"/>
              </w:rPr>
            </w:pPr>
            <w:r w:rsidRPr="002256CD">
              <w:rPr>
                <w:b/>
                <w:bCs/>
                <w:sz w:val="20"/>
                <w:szCs w:val="20"/>
              </w:rPr>
              <w:t>Justificatifs à produire</w:t>
            </w:r>
          </w:p>
        </w:tc>
        <w:tc>
          <w:tcPr>
            <w:tcW w:w="4392" w:type="dxa"/>
            <w:gridSpan w:val="3"/>
          </w:tcPr>
          <w:p w14:paraId="39DF1724" w14:textId="77777777" w:rsidR="002256CD" w:rsidRPr="002256CD" w:rsidRDefault="002256CD" w:rsidP="002256CD">
            <w:pPr>
              <w:spacing w:line="276" w:lineRule="auto"/>
              <w:rPr>
                <w:sz w:val="20"/>
                <w:szCs w:val="20"/>
              </w:rPr>
            </w:pPr>
            <w:r w:rsidRPr="002256CD">
              <w:rPr>
                <w:sz w:val="20"/>
                <w:szCs w:val="20"/>
              </w:rPr>
              <w:t>Au moment du dépôt de la demande</w:t>
            </w:r>
          </w:p>
        </w:tc>
        <w:tc>
          <w:tcPr>
            <w:tcW w:w="4392" w:type="dxa"/>
          </w:tcPr>
          <w:p w14:paraId="3E87A4DB" w14:textId="77777777" w:rsidR="002256CD" w:rsidRPr="002256CD" w:rsidRDefault="002256CD" w:rsidP="002256CD">
            <w:pPr>
              <w:spacing w:line="276" w:lineRule="auto"/>
              <w:jc w:val="both"/>
              <w:rPr>
                <w:sz w:val="20"/>
                <w:szCs w:val="20"/>
              </w:rPr>
            </w:pPr>
            <w:r w:rsidRPr="002256CD">
              <w:rPr>
                <w:sz w:val="20"/>
                <w:szCs w:val="20"/>
              </w:rPr>
              <w:t>Les différentes pièces justificatives sont listées dans les annexes qui recensent les pièces obligatoires au dépôt de la demande d’aide et au moment de l’instruction. Elles seront également spécifiées dans les appels à projets, ainsi que les pièces spécifiques pour chaque thématique.</w:t>
            </w:r>
          </w:p>
        </w:tc>
      </w:tr>
      <w:tr w:rsidR="002256CD" w:rsidRPr="002256CD" w14:paraId="574099CB" w14:textId="77777777" w:rsidTr="006002A6">
        <w:trPr>
          <w:gridAfter w:val="2"/>
          <w:wAfter w:w="424" w:type="dxa"/>
          <w:trHeight w:val="410"/>
        </w:trPr>
        <w:tc>
          <w:tcPr>
            <w:tcW w:w="2133" w:type="dxa"/>
            <w:vMerge/>
          </w:tcPr>
          <w:p w14:paraId="5C6C496C" w14:textId="77777777" w:rsidR="002256CD" w:rsidRPr="002256CD" w:rsidRDefault="002256CD" w:rsidP="002256CD">
            <w:pPr>
              <w:spacing w:line="276" w:lineRule="auto"/>
              <w:rPr>
                <w:b/>
                <w:bCs/>
                <w:sz w:val="22"/>
                <w:szCs w:val="22"/>
              </w:rPr>
            </w:pPr>
          </w:p>
        </w:tc>
        <w:tc>
          <w:tcPr>
            <w:tcW w:w="4392" w:type="dxa"/>
            <w:gridSpan w:val="3"/>
          </w:tcPr>
          <w:p w14:paraId="414992DE" w14:textId="77777777" w:rsidR="002256CD" w:rsidRPr="002256CD" w:rsidRDefault="002256CD" w:rsidP="002256CD">
            <w:pPr>
              <w:spacing w:line="276" w:lineRule="auto"/>
              <w:rPr>
                <w:sz w:val="20"/>
                <w:szCs w:val="20"/>
              </w:rPr>
            </w:pPr>
            <w:r w:rsidRPr="002256CD">
              <w:rPr>
                <w:sz w:val="20"/>
                <w:szCs w:val="20"/>
              </w:rPr>
              <w:t>Au moment de la remontée des dépenses</w:t>
            </w:r>
          </w:p>
        </w:tc>
        <w:tc>
          <w:tcPr>
            <w:tcW w:w="4392" w:type="dxa"/>
          </w:tcPr>
          <w:p w14:paraId="22BD5E50" w14:textId="77777777" w:rsidR="002256CD" w:rsidRDefault="002256CD" w:rsidP="002256CD">
            <w:pPr>
              <w:spacing w:line="276" w:lineRule="auto"/>
              <w:jc w:val="both"/>
              <w:rPr>
                <w:i/>
                <w:iCs/>
                <w:sz w:val="20"/>
                <w:szCs w:val="20"/>
              </w:rPr>
            </w:pPr>
            <w:r w:rsidRPr="002256CD">
              <w:rPr>
                <w:sz w:val="20"/>
                <w:szCs w:val="20"/>
              </w:rPr>
              <w:t xml:space="preserve">Les différentes pièces justificatives sont listées dans la Partie 3, Fiche méthode 2 </w:t>
            </w:r>
            <w:r w:rsidRPr="002256CD">
              <w:rPr>
                <w:i/>
                <w:iCs/>
                <w:sz w:val="20"/>
                <w:szCs w:val="20"/>
              </w:rPr>
              <w:t>« Le financement et le paiement de l’aide européenne »</w:t>
            </w:r>
            <w:r w:rsidRPr="002256CD">
              <w:rPr>
                <w:sz w:val="20"/>
                <w:szCs w:val="20"/>
              </w:rPr>
              <w:t xml:space="preserve"> ainsi que la Fiche méthode 3 </w:t>
            </w:r>
            <w:r w:rsidRPr="002256CD">
              <w:rPr>
                <w:i/>
                <w:iCs/>
                <w:sz w:val="20"/>
                <w:szCs w:val="20"/>
              </w:rPr>
              <w:t>« Les justificatifs participants et destinataires finaux ».</w:t>
            </w:r>
          </w:p>
          <w:p w14:paraId="3BD2E86B" w14:textId="77777777" w:rsidR="00F512D7" w:rsidRDefault="00F512D7" w:rsidP="00F512D7">
            <w:pPr>
              <w:pStyle w:val="Default"/>
              <w:jc w:val="both"/>
              <w:rPr>
                <w:sz w:val="20"/>
                <w:szCs w:val="20"/>
              </w:rPr>
            </w:pPr>
            <w:r>
              <w:rPr>
                <w:sz w:val="20"/>
                <w:szCs w:val="20"/>
              </w:rPr>
              <w:t xml:space="preserve">Pour les opérations couvertes par le BSCU dépenses de personnel, les pièces à fournir pour justifier le temps de travail réalisé par le personnel sont : </w:t>
            </w:r>
          </w:p>
          <w:p w14:paraId="2B47703A" w14:textId="77777777" w:rsidR="00F512D7" w:rsidRDefault="00F512D7" w:rsidP="00F512D7">
            <w:pPr>
              <w:pStyle w:val="Default"/>
              <w:ind w:left="-37"/>
              <w:jc w:val="both"/>
              <w:rPr>
                <w:sz w:val="20"/>
                <w:szCs w:val="20"/>
              </w:rPr>
            </w:pPr>
            <w:proofErr w:type="gramStart"/>
            <w:r w:rsidRPr="00F512D7">
              <w:rPr>
                <w:sz w:val="20"/>
                <w:szCs w:val="20"/>
              </w:rPr>
              <w:t>l’état</w:t>
            </w:r>
            <w:proofErr w:type="gramEnd"/>
            <w:r w:rsidRPr="00F512D7">
              <w:rPr>
                <w:sz w:val="20"/>
                <w:szCs w:val="20"/>
              </w:rPr>
              <w:t xml:space="preserve"> récapitulatif des frais de personnel annuel signé par le bénéficiaire qui listera les personnels rattachés à l’opération ;</w:t>
            </w:r>
          </w:p>
          <w:p w14:paraId="4C6BA8B3" w14:textId="7F77A024" w:rsidR="00F512D7" w:rsidRDefault="00F512D7" w:rsidP="00F512D7">
            <w:pPr>
              <w:pStyle w:val="Default"/>
              <w:numPr>
                <w:ilvl w:val="0"/>
                <w:numId w:val="12"/>
              </w:numPr>
              <w:ind w:left="465"/>
              <w:jc w:val="both"/>
              <w:rPr>
                <w:sz w:val="20"/>
                <w:szCs w:val="20"/>
              </w:rPr>
            </w:pPr>
            <w:proofErr w:type="gramStart"/>
            <w:r w:rsidRPr="00F512D7">
              <w:rPr>
                <w:i/>
                <w:iCs/>
                <w:sz w:val="20"/>
                <w:szCs w:val="20"/>
              </w:rPr>
              <w:t>pour</w:t>
            </w:r>
            <w:proofErr w:type="gramEnd"/>
            <w:r w:rsidRPr="00F512D7">
              <w:rPr>
                <w:i/>
                <w:iCs/>
                <w:sz w:val="20"/>
                <w:szCs w:val="20"/>
              </w:rPr>
              <w:t xml:space="preserve"> les personnels affectés à taux fixe sur l'opération </w:t>
            </w:r>
            <w:r w:rsidRPr="00F512D7">
              <w:rPr>
                <w:sz w:val="20"/>
                <w:szCs w:val="20"/>
              </w:rPr>
              <w:t xml:space="preserve">: des copies de fiches de poste ou copies de lettre de mission d'heures fixes passés sur l'opération ; </w:t>
            </w:r>
          </w:p>
          <w:p w14:paraId="678946CF" w14:textId="77777777" w:rsidR="00F512D7" w:rsidRPr="00F512D7" w:rsidRDefault="00F512D7" w:rsidP="00F512D7">
            <w:pPr>
              <w:pStyle w:val="Default"/>
              <w:ind w:left="465"/>
              <w:jc w:val="both"/>
              <w:rPr>
                <w:sz w:val="20"/>
                <w:szCs w:val="20"/>
              </w:rPr>
            </w:pPr>
          </w:p>
          <w:p w14:paraId="02D34826" w14:textId="522B3888" w:rsidR="00F512D7" w:rsidRPr="00F512D7" w:rsidRDefault="00F512D7" w:rsidP="00F512D7">
            <w:pPr>
              <w:pStyle w:val="Default"/>
              <w:numPr>
                <w:ilvl w:val="0"/>
                <w:numId w:val="12"/>
              </w:numPr>
              <w:ind w:left="465"/>
              <w:jc w:val="both"/>
              <w:rPr>
                <w:sz w:val="20"/>
                <w:szCs w:val="20"/>
              </w:rPr>
            </w:pPr>
            <w:proofErr w:type="gramStart"/>
            <w:r w:rsidRPr="00F512D7">
              <w:rPr>
                <w:i/>
                <w:iCs/>
                <w:sz w:val="20"/>
                <w:szCs w:val="20"/>
              </w:rPr>
              <w:t>pour</w:t>
            </w:r>
            <w:proofErr w:type="gramEnd"/>
            <w:r w:rsidRPr="00F512D7">
              <w:rPr>
                <w:i/>
                <w:iCs/>
                <w:sz w:val="20"/>
                <w:szCs w:val="20"/>
              </w:rPr>
              <w:t xml:space="preserve"> les personnels affectés de manière variable sur l'opération </w:t>
            </w:r>
            <w:r w:rsidRPr="00F512D7">
              <w:rPr>
                <w:sz w:val="20"/>
                <w:szCs w:val="20"/>
              </w:rPr>
              <w:t xml:space="preserve">: des fiches de temps ou des extraits de logiciels de temps signés par le personnel et son supérieur hiérarchique. </w:t>
            </w:r>
          </w:p>
          <w:p w14:paraId="3E94384C" w14:textId="77777777" w:rsidR="00F512D7" w:rsidRPr="002256CD" w:rsidRDefault="00F512D7" w:rsidP="002256CD">
            <w:pPr>
              <w:spacing w:line="276" w:lineRule="auto"/>
              <w:jc w:val="both"/>
              <w:rPr>
                <w:sz w:val="20"/>
                <w:szCs w:val="20"/>
              </w:rPr>
            </w:pPr>
          </w:p>
        </w:tc>
      </w:tr>
      <w:tr w:rsidR="002256CD" w:rsidRPr="002256CD" w14:paraId="41A0C8D3" w14:textId="77777777" w:rsidTr="006002A6">
        <w:trPr>
          <w:gridAfter w:val="1"/>
          <w:wAfter w:w="409" w:type="dxa"/>
          <w:trHeight w:val="410"/>
        </w:trPr>
        <w:tc>
          <w:tcPr>
            <w:tcW w:w="10932" w:type="dxa"/>
            <w:gridSpan w:val="6"/>
          </w:tcPr>
          <w:p w14:paraId="7C19AB21" w14:textId="77777777" w:rsidR="005F1C08" w:rsidRDefault="005F1C08" w:rsidP="002256CD">
            <w:pPr>
              <w:spacing w:line="276" w:lineRule="auto"/>
              <w:jc w:val="both"/>
              <w:rPr>
                <w:sz w:val="20"/>
                <w:szCs w:val="20"/>
              </w:rPr>
            </w:pPr>
          </w:p>
          <w:p w14:paraId="14E25FFE" w14:textId="77777777" w:rsidR="002256CD" w:rsidRDefault="002256CD" w:rsidP="002256CD">
            <w:pPr>
              <w:spacing w:line="276" w:lineRule="auto"/>
              <w:jc w:val="both"/>
              <w:rPr>
                <w:sz w:val="20"/>
                <w:szCs w:val="20"/>
              </w:rPr>
            </w:pPr>
            <w:r w:rsidRPr="002256CD">
              <w:rPr>
                <w:sz w:val="20"/>
                <w:szCs w:val="20"/>
              </w:rPr>
              <w:t xml:space="preserve">Attention : Le service instructeur conserve tous les documents dans un dossier unique. Cette obligation s’applique aussi au bénéficiaire de la subvention. En cas de contrôle, ils devront être en mesure de les fournir. </w:t>
            </w:r>
          </w:p>
          <w:p w14:paraId="6458E6F2" w14:textId="386454E5" w:rsidR="005F1C08" w:rsidRPr="002256CD" w:rsidRDefault="005F1C08" w:rsidP="002256CD">
            <w:pPr>
              <w:spacing w:line="276" w:lineRule="auto"/>
              <w:jc w:val="both"/>
              <w:rPr>
                <w:sz w:val="20"/>
                <w:szCs w:val="20"/>
              </w:rPr>
            </w:pPr>
          </w:p>
        </w:tc>
      </w:tr>
      <w:tr w:rsidR="002256CD" w:rsidRPr="002256CD" w14:paraId="65BB4318" w14:textId="77777777" w:rsidTr="006002A6">
        <w:trPr>
          <w:gridAfter w:val="2"/>
          <w:wAfter w:w="424" w:type="dxa"/>
          <w:trHeight w:val="990"/>
        </w:trPr>
        <w:tc>
          <w:tcPr>
            <w:tcW w:w="2133" w:type="dxa"/>
            <w:vMerge w:val="restart"/>
            <w:vAlign w:val="center"/>
          </w:tcPr>
          <w:p w14:paraId="50452A9B" w14:textId="77777777" w:rsidR="002256CD" w:rsidRPr="002256CD" w:rsidRDefault="002256CD" w:rsidP="002256CD">
            <w:pPr>
              <w:spacing w:line="276" w:lineRule="auto"/>
              <w:rPr>
                <w:b/>
                <w:bCs/>
                <w:sz w:val="22"/>
                <w:szCs w:val="22"/>
              </w:rPr>
            </w:pPr>
          </w:p>
          <w:p w14:paraId="088061FD" w14:textId="77777777" w:rsidR="002256CD" w:rsidRPr="002256CD" w:rsidRDefault="002256CD" w:rsidP="002256CD">
            <w:pPr>
              <w:spacing w:line="276" w:lineRule="auto"/>
              <w:rPr>
                <w:b/>
                <w:bCs/>
                <w:sz w:val="22"/>
                <w:szCs w:val="22"/>
              </w:rPr>
            </w:pPr>
          </w:p>
          <w:p w14:paraId="403BED0B" w14:textId="77777777" w:rsidR="002256CD" w:rsidRPr="002256CD" w:rsidRDefault="002256CD" w:rsidP="002256CD">
            <w:pPr>
              <w:spacing w:line="276" w:lineRule="auto"/>
              <w:rPr>
                <w:b/>
                <w:bCs/>
                <w:sz w:val="22"/>
                <w:szCs w:val="22"/>
              </w:rPr>
            </w:pPr>
          </w:p>
          <w:p w14:paraId="5601996F" w14:textId="77777777" w:rsidR="002256CD" w:rsidRPr="002256CD" w:rsidRDefault="002256CD" w:rsidP="002256CD">
            <w:pPr>
              <w:spacing w:line="276" w:lineRule="auto"/>
              <w:rPr>
                <w:b/>
                <w:bCs/>
                <w:sz w:val="22"/>
                <w:szCs w:val="22"/>
              </w:rPr>
            </w:pPr>
          </w:p>
          <w:p w14:paraId="16681A62" w14:textId="77777777" w:rsidR="002256CD" w:rsidRPr="002256CD" w:rsidRDefault="002256CD" w:rsidP="002256CD">
            <w:pPr>
              <w:spacing w:line="276" w:lineRule="auto"/>
              <w:rPr>
                <w:b/>
                <w:bCs/>
                <w:sz w:val="22"/>
                <w:szCs w:val="22"/>
              </w:rPr>
            </w:pPr>
          </w:p>
          <w:p w14:paraId="32C8DA06" w14:textId="77777777" w:rsidR="002256CD" w:rsidRPr="002256CD" w:rsidRDefault="002256CD" w:rsidP="002256CD">
            <w:pPr>
              <w:spacing w:line="276" w:lineRule="auto"/>
              <w:rPr>
                <w:b/>
                <w:bCs/>
                <w:sz w:val="22"/>
                <w:szCs w:val="22"/>
              </w:rPr>
            </w:pPr>
          </w:p>
          <w:p w14:paraId="5E60E967" w14:textId="77777777" w:rsidR="002256CD" w:rsidRPr="002256CD" w:rsidRDefault="002256CD" w:rsidP="002256CD">
            <w:pPr>
              <w:spacing w:line="276" w:lineRule="auto"/>
              <w:rPr>
                <w:b/>
                <w:bCs/>
                <w:sz w:val="22"/>
                <w:szCs w:val="22"/>
              </w:rPr>
            </w:pPr>
          </w:p>
          <w:p w14:paraId="46E6EA5C" w14:textId="77777777" w:rsidR="002256CD" w:rsidRPr="002256CD" w:rsidRDefault="002256CD" w:rsidP="002256CD">
            <w:pPr>
              <w:spacing w:line="276" w:lineRule="auto"/>
              <w:rPr>
                <w:b/>
                <w:bCs/>
                <w:sz w:val="22"/>
                <w:szCs w:val="22"/>
              </w:rPr>
            </w:pPr>
          </w:p>
          <w:p w14:paraId="23B9B260" w14:textId="77777777" w:rsidR="002256CD" w:rsidRPr="002256CD" w:rsidRDefault="002256CD" w:rsidP="002256CD">
            <w:pPr>
              <w:spacing w:line="276" w:lineRule="auto"/>
              <w:rPr>
                <w:b/>
                <w:bCs/>
                <w:sz w:val="22"/>
                <w:szCs w:val="22"/>
              </w:rPr>
            </w:pPr>
          </w:p>
          <w:p w14:paraId="25FCD662" w14:textId="77777777" w:rsidR="002256CD" w:rsidRPr="002256CD" w:rsidRDefault="002256CD" w:rsidP="002256CD">
            <w:pPr>
              <w:spacing w:line="276" w:lineRule="auto"/>
              <w:jc w:val="center"/>
              <w:rPr>
                <w:b/>
                <w:bCs/>
                <w:sz w:val="20"/>
                <w:szCs w:val="20"/>
              </w:rPr>
            </w:pPr>
            <w:r w:rsidRPr="002256CD">
              <w:rPr>
                <w:b/>
                <w:bCs/>
                <w:sz w:val="20"/>
                <w:szCs w:val="20"/>
              </w:rPr>
              <w:t>Aides d’État</w:t>
            </w:r>
          </w:p>
          <w:p w14:paraId="6FB92858" w14:textId="77777777" w:rsidR="002256CD" w:rsidRPr="002256CD" w:rsidRDefault="002256CD" w:rsidP="002256CD">
            <w:pPr>
              <w:spacing w:line="276" w:lineRule="auto"/>
              <w:rPr>
                <w:b/>
                <w:bCs/>
                <w:sz w:val="22"/>
                <w:szCs w:val="22"/>
              </w:rPr>
            </w:pPr>
          </w:p>
          <w:p w14:paraId="2D4DA165" w14:textId="77777777" w:rsidR="002256CD" w:rsidRPr="002256CD" w:rsidRDefault="002256CD" w:rsidP="002256CD">
            <w:pPr>
              <w:spacing w:line="276" w:lineRule="auto"/>
              <w:rPr>
                <w:b/>
                <w:bCs/>
                <w:sz w:val="22"/>
                <w:szCs w:val="22"/>
              </w:rPr>
            </w:pPr>
          </w:p>
          <w:p w14:paraId="1635690D" w14:textId="77777777" w:rsidR="002256CD" w:rsidRPr="002256CD" w:rsidRDefault="002256CD" w:rsidP="002256CD">
            <w:pPr>
              <w:spacing w:line="276" w:lineRule="auto"/>
              <w:rPr>
                <w:b/>
                <w:bCs/>
                <w:sz w:val="22"/>
                <w:szCs w:val="22"/>
              </w:rPr>
            </w:pPr>
          </w:p>
          <w:p w14:paraId="1A0BC488" w14:textId="77777777" w:rsidR="002256CD" w:rsidRPr="002256CD" w:rsidRDefault="002256CD" w:rsidP="002256CD">
            <w:pPr>
              <w:spacing w:line="276" w:lineRule="auto"/>
              <w:rPr>
                <w:b/>
                <w:bCs/>
                <w:sz w:val="22"/>
                <w:szCs w:val="22"/>
              </w:rPr>
            </w:pPr>
          </w:p>
          <w:p w14:paraId="507F60B5" w14:textId="77777777" w:rsidR="002256CD" w:rsidRPr="002256CD" w:rsidRDefault="002256CD" w:rsidP="002256CD">
            <w:pPr>
              <w:spacing w:line="276" w:lineRule="auto"/>
              <w:rPr>
                <w:b/>
                <w:bCs/>
                <w:sz w:val="22"/>
                <w:szCs w:val="22"/>
              </w:rPr>
            </w:pPr>
          </w:p>
          <w:p w14:paraId="41ADEEA6" w14:textId="77777777" w:rsidR="002256CD" w:rsidRPr="002256CD" w:rsidRDefault="002256CD" w:rsidP="002256CD">
            <w:pPr>
              <w:spacing w:line="276" w:lineRule="auto"/>
              <w:rPr>
                <w:b/>
                <w:bCs/>
                <w:sz w:val="22"/>
                <w:szCs w:val="22"/>
              </w:rPr>
            </w:pPr>
          </w:p>
          <w:p w14:paraId="48A9298D" w14:textId="77777777" w:rsidR="002256CD" w:rsidRPr="002256CD" w:rsidRDefault="002256CD" w:rsidP="002256CD">
            <w:pPr>
              <w:spacing w:line="276" w:lineRule="auto"/>
              <w:rPr>
                <w:b/>
                <w:bCs/>
                <w:sz w:val="22"/>
                <w:szCs w:val="22"/>
              </w:rPr>
            </w:pPr>
          </w:p>
          <w:p w14:paraId="1CABD87F" w14:textId="77777777" w:rsidR="002256CD" w:rsidRPr="002256CD" w:rsidRDefault="002256CD" w:rsidP="002256CD">
            <w:pPr>
              <w:spacing w:line="276" w:lineRule="auto"/>
              <w:rPr>
                <w:b/>
                <w:bCs/>
                <w:sz w:val="22"/>
                <w:szCs w:val="22"/>
              </w:rPr>
            </w:pPr>
          </w:p>
        </w:tc>
        <w:tc>
          <w:tcPr>
            <w:tcW w:w="8784" w:type="dxa"/>
            <w:gridSpan w:val="4"/>
          </w:tcPr>
          <w:p w14:paraId="54E7E031" w14:textId="13870497" w:rsidR="00AF52A0" w:rsidRPr="00AF52A0" w:rsidRDefault="002256CD" w:rsidP="00AF52A0">
            <w:pPr>
              <w:spacing w:line="276" w:lineRule="auto"/>
              <w:jc w:val="both"/>
              <w:rPr>
                <w:sz w:val="20"/>
                <w:szCs w:val="20"/>
              </w:rPr>
            </w:pPr>
            <w:r w:rsidRPr="00AF52A0">
              <w:rPr>
                <w:sz w:val="20"/>
                <w:szCs w:val="20"/>
              </w:rPr>
              <w:lastRenderedPageBreak/>
              <w:t xml:space="preserve">Le cadre règlementaire général en matière d’aides d’État est précisé au sein de l’annexe </w:t>
            </w:r>
            <w:r w:rsidRPr="00AF52A0">
              <w:rPr>
                <w:i/>
                <w:iCs/>
                <w:sz w:val="20"/>
                <w:szCs w:val="20"/>
              </w:rPr>
              <w:t>« Fiche généralités aides d’É</w:t>
            </w:r>
            <w:r w:rsidRPr="00AF52A0">
              <w:rPr>
                <w:i/>
                <w:sz w:val="20"/>
                <w:szCs w:val="20"/>
              </w:rPr>
              <w:t>t</w:t>
            </w:r>
            <w:r w:rsidRPr="00AF52A0">
              <w:rPr>
                <w:i/>
                <w:iCs/>
                <w:sz w:val="20"/>
                <w:szCs w:val="20"/>
              </w:rPr>
              <w:t>at »</w:t>
            </w:r>
            <w:r w:rsidR="00AF52A0" w:rsidRPr="00AF52A0">
              <w:rPr>
                <w:i/>
                <w:iCs/>
                <w:sz w:val="20"/>
                <w:szCs w:val="20"/>
              </w:rPr>
              <w:t xml:space="preserve"> </w:t>
            </w:r>
            <w:r w:rsidR="00AF52A0" w:rsidRPr="00AF52A0">
              <w:rPr>
                <w:sz w:val="20"/>
                <w:szCs w:val="20"/>
              </w:rPr>
              <w:t>du "</w:t>
            </w:r>
            <w:r w:rsidR="00AF52A0" w:rsidRPr="00AF52A0">
              <w:rPr>
                <w:i/>
                <w:iCs/>
                <w:color w:val="0000FF"/>
                <w:sz w:val="20"/>
                <w:szCs w:val="20"/>
              </w:rPr>
              <w:t xml:space="preserve">guide méthodologique de mise en </w:t>
            </w:r>
            <w:proofErr w:type="spellStart"/>
            <w:r w:rsidR="00AF52A0" w:rsidRPr="00AF52A0">
              <w:rPr>
                <w:i/>
                <w:iCs/>
                <w:color w:val="0000FF"/>
                <w:sz w:val="20"/>
                <w:szCs w:val="20"/>
              </w:rPr>
              <w:t>oeuvre</w:t>
            </w:r>
            <w:proofErr w:type="spellEnd"/>
            <w:r w:rsidR="00AF52A0" w:rsidRPr="00AF52A0">
              <w:rPr>
                <w:sz w:val="20"/>
                <w:szCs w:val="20"/>
              </w:rPr>
              <w:t xml:space="preserve">". </w:t>
            </w:r>
          </w:p>
          <w:p w14:paraId="375B827B" w14:textId="77777777" w:rsidR="002256CD" w:rsidRPr="002256CD" w:rsidRDefault="002256CD" w:rsidP="002256CD">
            <w:pPr>
              <w:spacing w:line="276" w:lineRule="auto"/>
              <w:jc w:val="both"/>
              <w:rPr>
                <w:sz w:val="20"/>
                <w:szCs w:val="20"/>
              </w:rPr>
            </w:pPr>
          </w:p>
          <w:p w14:paraId="4CA9776F" w14:textId="77777777" w:rsidR="002256CD" w:rsidRPr="002256CD" w:rsidRDefault="002256CD" w:rsidP="002256CD">
            <w:pPr>
              <w:spacing w:line="276" w:lineRule="auto"/>
              <w:jc w:val="both"/>
              <w:rPr>
                <w:sz w:val="20"/>
                <w:szCs w:val="20"/>
              </w:rPr>
            </w:pPr>
            <w:r w:rsidRPr="002256CD">
              <w:rPr>
                <w:sz w:val="20"/>
                <w:szCs w:val="20"/>
              </w:rPr>
              <w:t xml:space="preserve">L’application de la règlementation relative aux aides d’État se fait au moment de l’instruction et de l’octroi de chaque financement lorsque la mesure d’aide est susceptible d’être qualifiée d’aide d’État au sens de la règlementation européenne. Si le porteur est soumis à cette règlementation compte tenu de son statut, de son activité, de la nature de l’opération et de la mesure d’aide, l’autorité de gestion vérifiera si l’aide est compatible avec les règles européennes.  </w:t>
            </w:r>
          </w:p>
          <w:p w14:paraId="1C57B37F" w14:textId="77777777" w:rsidR="002256CD" w:rsidRPr="002256CD" w:rsidRDefault="002256CD" w:rsidP="002256CD">
            <w:pPr>
              <w:spacing w:line="276" w:lineRule="auto"/>
              <w:jc w:val="both"/>
              <w:rPr>
                <w:sz w:val="20"/>
                <w:szCs w:val="20"/>
              </w:rPr>
            </w:pPr>
          </w:p>
          <w:p w14:paraId="6B8DBE44" w14:textId="77777777" w:rsidR="002256CD" w:rsidRPr="002256CD" w:rsidRDefault="002256CD" w:rsidP="002256CD">
            <w:pPr>
              <w:spacing w:line="276" w:lineRule="auto"/>
              <w:jc w:val="both"/>
              <w:rPr>
                <w:sz w:val="20"/>
                <w:szCs w:val="20"/>
              </w:rPr>
            </w:pPr>
            <w:r w:rsidRPr="002256CD">
              <w:rPr>
                <w:sz w:val="20"/>
                <w:szCs w:val="20"/>
              </w:rPr>
              <w:t>La ou les base(s) juridique(s) exposée(s) ci-dessous constituent une indication pour l’analyse de cette compatibilité et n’engage(nt) pas l’autorité de gestion sur la qualification définitive des projets de subventions au regard de la règlementation des aides d’État. Il s’agit d’une indication purement informative sans valeur juridique. Seule la décision finale d’octroi engage l’autorité de gestion sous réserve que le porteur respecte l’ensemble des conditions générales et particulières régissant la mesure d’aide.</w:t>
            </w:r>
          </w:p>
          <w:p w14:paraId="37C91A35" w14:textId="77777777" w:rsidR="002256CD" w:rsidRPr="002256CD" w:rsidRDefault="002256CD" w:rsidP="002256CD">
            <w:pPr>
              <w:spacing w:line="276" w:lineRule="auto"/>
              <w:jc w:val="both"/>
              <w:rPr>
                <w:b/>
                <w:bCs/>
                <w:sz w:val="20"/>
                <w:szCs w:val="20"/>
              </w:rPr>
            </w:pPr>
          </w:p>
          <w:p w14:paraId="38FF457C" w14:textId="77777777" w:rsidR="002256CD" w:rsidRPr="002256CD" w:rsidRDefault="002256CD" w:rsidP="002256CD">
            <w:pPr>
              <w:spacing w:line="276" w:lineRule="auto"/>
              <w:jc w:val="both"/>
              <w:rPr>
                <w:b/>
                <w:bCs/>
                <w:sz w:val="20"/>
                <w:szCs w:val="20"/>
              </w:rPr>
            </w:pPr>
            <w:r w:rsidRPr="002256CD">
              <w:rPr>
                <w:b/>
                <w:bCs/>
                <w:sz w:val="20"/>
                <w:szCs w:val="20"/>
              </w:rPr>
              <w:t xml:space="preserve">Base juridique (susceptible d’évoluer en cours de programmation) : </w:t>
            </w:r>
          </w:p>
          <w:p w14:paraId="341984E8" w14:textId="77777777" w:rsidR="002256CD" w:rsidRPr="002256CD" w:rsidRDefault="002256CD" w:rsidP="002256CD">
            <w:pPr>
              <w:spacing w:line="276" w:lineRule="auto"/>
              <w:jc w:val="both"/>
              <w:rPr>
                <w:sz w:val="20"/>
                <w:szCs w:val="20"/>
              </w:rPr>
            </w:pPr>
          </w:p>
          <w:p w14:paraId="520C9079" w14:textId="77777777" w:rsidR="002256CD" w:rsidRPr="002256CD" w:rsidRDefault="002256CD" w:rsidP="002256CD">
            <w:pPr>
              <w:spacing w:line="276" w:lineRule="auto"/>
              <w:jc w:val="both"/>
              <w:rPr>
                <w:sz w:val="20"/>
                <w:szCs w:val="20"/>
              </w:rPr>
            </w:pPr>
            <w:r w:rsidRPr="002256CD">
              <w:rPr>
                <w:sz w:val="20"/>
                <w:szCs w:val="20"/>
              </w:rPr>
              <w:t>Les projets qualifiés hors aides d’État, ne respectant pas l’un des cinq critères de l’analyse aide d’État, se feront au cas par cas après instruction du dossier au regard de la communication sur la notion d’aides d’État (2016/C262/01).</w:t>
            </w:r>
          </w:p>
          <w:p w14:paraId="470F43C7" w14:textId="77777777" w:rsidR="002256CD" w:rsidRPr="002256CD" w:rsidRDefault="002256CD" w:rsidP="002256CD">
            <w:pPr>
              <w:spacing w:line="276" w:lineRule="auto"/>
              <w:jc w:val="both"/>
              <w:rPr>
                <w:sz w:val="20"/>
                <w:szCs w:val="20"/>
              </w:rPr>
            </w:pPr>
          </w:p>
          <w:p w14:paraId="2FA8109F" w14:textId="77777777" w:rsidR="002256CD" w:rsidRPr="002256CD" w:rsidRDefault="002256CD" w:rsidP="002256CD">
            <w:pPr>
              <w:spacing w:line="276" w:lineRule="auto"/>
              <w:jc w:val="both"/>
              <w:rPr>
                <w:sz w:val="20"/>
                <w:szCs w:val="20"/>
              </w:rPr>
            </w:pPr>
            <w:r w:rsidRPr="002256CD">
              <w:rPr>
                <w:sz w:val="20"/>
                <w:szCs w:val="20"/>
              </w:rPr>
              <w:t>Les projets entrant dans le champ des aides d’État pourront être soutenus sur la base d’un des textes suivants :</w:t>
            </w:r>
          </w:p>
          <w:p w14:paraId="36222EA6" w14:textId="77777777" w:rsidR="00AF52A0" w:rsidRDefault="002256CD" w:rsidP="00AF52A0">
            <w:pPr>
              <w:numPr>
                <w:ilvl w:val="0"/>
                <w:numId w:val="1"/>
              </w:numPr>
              <w:spacing w:line="276" w:lineRule="auto"/>
              <w:jc w:val="both"/>
              <w:rPr>
                <w:sz w:val="20"/>
                <w:szCs w:val="20"/>
              </w:rPr>
            </w:pPr>
            <w:r w:rsidRPr="00AF52A0">
              <w:rPr>
                <w:sz w:val="20"/>
                <w:szCs w:val="20"/>
              </w:rPr>
              <w:t>Règlement (UE) n°651/2014 déclarant certaines catégories d’aides compatibles avec le marché intérieur en application des articles 107 et 108 du traité, modifié par le règlement (UE) n°2021/1237 de la Commission du 23 juillet 2021,</w:t>
            </w:r>
          </w:p>
          <w:p w14:paraId="54EF90E3" w14:textId="6E790056" w:rsidR="002256CD" w:rsidRPr="00AF52A0" w:rsidRDefault="00AF52A0" w:rsidP="002256CD">
            <w:pPr>
              <w:numPr>
                <w:ilvl w:val="0"/>
                <w:numId w:val="1"/>
              </w:numPr>
              <w:spacing w:line="276" w:lineRule="auto"/>
              <w:jc w:val="both"/>
              <w:rPr>
                <w:sz w:val="20"/>
                <w:szCs w:val="20"/>
              </w:rPr>
            </w:pPr>
            <w:r w:rsidRPr="00AF52A0">
              <w:rPr>
                <w:sz w:val="20"/>
                <w:szCs w:val="20"/>
              </w:rPr>
              <w:t>SA.111723 Régime cadre exempté de notification relatif aux aides à la recherche, au développement et à l’innovation (RDI) pour la période 2024-2026</w:t>
            </w:r>
            <w:r>
              <w:rPr>
                <w:sz w:val="20"/>
                <w:szCs w:val="20"/>
              </w:rPr>
              <w:t>,</w:t>
            </w:r>
          </w:p>
          <w:p w14:paraId="05963FC4" w14:textId="77777777" w:rsidR="002256CD" w:rsidRPr="002256CD" w:rsidRDefault="002256CD" w:rsidP="002256CD">
            <w:pPr>
              <w:numPr>
                <w:ilvl w:val="0"/>
                <w:numId w:val="1"/>
              </w:numPr>
              <w:spacing w:line="276" w:lineRule="auto"/>
              <w:jc w:val="both"/>
              <w:rPr>
                <w:sz w:val="20"/>
                <w:szCs w:val="20"/>
              </w:rPr>
            </w:pPr>
            <w:r w:rsidRPr="002256CD">
              <w:rPr>
                <w:sz w:val="20"/>
                <w:szCs w:val="20"/>
              </w:rPr>
              <w:t>Règlement (UE) n°1407/2013 relatif à l’application des articles 107 et 108 du traité sur le fonctionnement de l’Union européenne aux aides de minimis, modifié par le règlement (UE) n°2020/972 de la Commission du 2 juillet 2020,</w:t>
            </w:r>
          </w:p>
          <w:p w14:paraId="7018F9DF" w14:textId="082963C2" w:rsidR="002256CD" w:rsidRPr="00AF52A0" w:rsidRDefault="002256CD" w:rsidP="002256CD">
            <w:pPr>
              <w:numPr>
                <w:ilvl w:val="0"/>
                <w:numId w:val="1"/>
              </w:numPr>
              <w:spacing w:line="276" w:lineRule="auto"/>
              <w:jc w:val="both"/>
              <w:rPr>
                <w:sz w:val="20"/>
                <w:szCs w:val="20"/>
              </w:rPr>
            </w:pPr>
            <w:r w:rsidRPr="00AF52A0">
              <w:rPr>
                <w:sz w:val="20"/>
                <w:szCs w:val="20"/>
              </w:rPr>
              <w:t xml:space="preserve">Règlement (UE) n°360/2012 relatif à l’application des articles 107 et 108 du traité sur le fonctionnement de l'Union européenne aux aides de minimis accordées à des entreprises fournissant des services d’intérêt économique général, modifié par le règlement (UE) </w:t>
            </w:r>
            <w:r w:rsidR="00AF52A0" w:rsidRPr="00AF52A0">
              <w:rPr>
                <w:sz w:val="20"/>
                <w:szCs w:val="20"/>
              </w:rPr>
              <w:t>n°2023/2832 de la Commission du 13 décembre 2023</w:t>
            </w:r>
            <w:r w:rsidRPr="00AF52A0">
              <w:rPr>
                <w:sz w:val="20"/>
                <w:szCs w:val="20"/>
              </w:rPr>
              <w:t>, </w:t>
            </w:r>
          </w:p>
          <w:p w14:paraId="0936DEA5" w14:textId="77777777" w:rsidR="002256CD" w:rsidRPr="002256CD" w:rsidRDefault="002256CD" w:rsidP="002256CD">
            <w:pPr>
              <w:numPr>
                <w:ilvl w:val="0"/>
                <w:numId w:val="1"/>
              </w:numPr>
              <w:spacing w:line="276" w:lineRule="auto"/>
              <w:jc w:val="both"/>
              <w:rPr>
                <w:sz w:val="20"/>
                <w:szCs w:val="20"/>
              </w:rPr>
            </w:pPr>
            <w:r w:rsidRPr="002256CD">
              <w:rPr>
                <w:sz w:val="20"/>
                <w:szCs w:val="20"/>
              </w:rPr>
              <w:t>Décision de la Commission du 20 décembre 2011 relative à l’application de l’article 106, paragraphe 2, du traité sur le fonctionnement de l’Union européenne aux aides d’État sous forme de compensations de service public octroyées à certaines entreprises</w:t>
            </w:r>
            <w:r w:rsidRPr="002256CD">
              <w:rPr>
                <w:sz w:val="20"/>
                <w:szCs w:val="20"/>
                <w:vertAlign w:val="superscript"/>
              </w:rPr>
              <w:footnoteReference w:id="1"/>
            </w:r>
            <w:r w:rsidRPr="002256CD">
              <w:rPr>
                <w:sz w:val="20"/>
                <w:szCs w:val="20"/>
              </w:rPr>
              <w:t xml:space="preserve"> chargées de la gestion de services d’intérêt économique général,</w:t>
            </w:r>
          </w:p>
          <w:p w14:paraId="19081285" w14:textId="77777777" w:rsidR="002256CD" w:rsidRPr="002256CD" w:rsidRDefault="002256CD" w:rsidP="002256CD">
            <w:pPr>
              <w:numPr>
                <w:ilvl w:val="0"/>
                <w:numId w:val="1"/>
              </w:numPr>
              <w:spacing w:line="276" w:lineRule="auto"/>
              <w:jc w:val="both"/>
              <w:rPr>
                <w:sz w:val="20"/>
                <w:szCs w:val="20"/>
              </w:rPr>
            </w:pPr>
            <w:r w:rsidRPr="002256CD">
              <w:rPr>
                <w:sz w:val="20"/>
                <w:szCs w:val="20"/>
              </w:rPr>
              <w:t>Méthodologie de l’intermédiaire transparent.</w:t>
            </w:r>
          </w:p>
        </w:tc>
      </w:tr>
      <w:tr w:rsidR="002256CD" w:rsidRPr="002256CD" w14:paraId="79B429B8" w14:textId="77777777" w:rsidTr="006002A6">
        <w:trPr>
          <w:gridAfter w:val="2"/>
          <w:wAfter w:w="424" w:type="dxa"/>
          <w:trHeight w:val="990"/>
        </w:trPr>
        <w:tc>
          <w:tcPr>
            <w:tcW w:w="2133" w:type="dxa"/>
            <w:vMerge/>
          </w:tcPr>
          <w:p w14:paraId="5C09D432" w14:textId="77777777" w:rsidR="002256CD" w:rsidRPr="002256CD" w:rsidRDefault="002256CD" w:rsidP="002256CD">
            <w:pPr>
              <w:numPr>
                <w:ilvl w:val="0"/>
                <w:numId w:val="2"/>
              </w:numPr>
              <w:spacing w:line="276" w:lineRule="auto"/>
              <w:rPr>
                <w:b/>
                <w:bCs/>
                <w:sz w:val="22"/>
                <w:szCs w:val="22"/>
              </w:rPr>
            </w:pPr>
          </w:p>
        </w:tc>
        <w:tc>
          <w:tcPr>
            <w:tcW w:w="8784" w:type="dxa"/>
            <w:gridSpan w:val="4"/>
          </w:tcPr>
          <w:tbl>
            <w:tblPr>
              <w:tblStyle w:val="Grilledutableau"/>
              <w:tblW w:w="86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8"/>
              <w:gridCol w:w="7765"/>
            </w:tblGrid>
            <w:tr w:rsidR="002256CD" w:rsidRPr="002256CD" w14:paraId="7107602F" w14:textId="77777777" w:rsidTr="006F3D47">
              <w:trPr>
                <w:trHeight w:val="465"/>
              </w:trPr>
              <w:tc>
                <w:tcPr>
                  <w:tcW w:w="888" w:type="dxa"/>
                </w:tcPr>
                <w:p w14:paraId="001E7243" w14:textId="77777777" w:rsidR="002256CD" w:rsidRPr="002256CD" w:rsidRDefault="002256CD" w:rsidP="002256CD">
                  <w:pPr>
                    <w:spacing w:line="276" w:lineRule="auto"/>
                    <w:jc w:val="both"/>
                    <w:rPr>
                      <w:sz w:val="20"/>
                      <w:szCs w:val="20"/>
                    </w:rPr>
                  </w:pPr>
                  <w:r w:rsidRPr="002256CD">
                    <w:rPr>
                      <w:noProof/>
                      <w:sz w:val="20"/>
                      <w:szCs w:val="20"/>
                    </w:rPr>
                    <w:drawing>
                      <wp:inline distT="0" distB="0" distL="0" distR="0" wp14:anchorId="0A5D047B" wp14:editId="2D818620">
                        <wp:extent cx="343262" cy="402336"/>
                        <wp:effectExtent l="0" t="0" r="0" b="0"/>
                        <wp:docPr id="895891273" name="Graphique 895891273" descr="Avertissemen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que 3" descr="Avertissement avec un remplissage uni"/>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376773" cy="441615"/>
                                </a:xfrm>
                                <a:prstGeom prst="rect">
                                  <a:avLst/>
                                </a:prstGeom>
                              </pic:spPr>
                            </pic:pic>
                          </a:graphicData>
                        </a:graphic>
                      </wp:inline>
                    </w:drawing>
                  </w:r>
                </w:p>
              </w:tc>
              <w:tc>
                <w:tcPr>
                  <w:tcW w:w="7765" w:type="dxa"/>
                </w:tcPr>
                <w:p w14:paraId="2B121DA0" w14:textId="77777777" w:rsidR="002256CD" w:rsidRPr="002256CD" w:rsidRDefault="002256CD" w:rsidP="002256CD">
                  <w:pPr>
                    <w:spacing w:line="276" w:lineRule="auto"/>
                    <w:jc w:val="both"/>
                    <w:rPr>
                      <w:sz w:val="20"/>
                      <w:szCs w:val="20"/>
                    </w:rPr>
                  </w:pPr>
                  <w:r w:rsidRPr="002256CD">
                    <w:rPr>
                      <w:sz w:val="20"/>
                      <w:szCs w:val="20"/>
                    </w:rPr>
                    <w:t>Si l’opération est soumise à un régime d’aide d’État, la règle de l’</w:t>
                  </w:r>
                  <w:proofErr w:type="spellStart"/>
                  <w:r w:rsidRPr="002256CD">
                    <w:rPr>
                      <w:sz w:val="20"/>
                      <w:szCs w:val="20"/>
                    </w:rPr>
                    <w:t>incitativité</w:t>
                  </w:r>
                  <w:proofErr w:type="spellEnd"/>
                  <w:r w:rsidRPr="002256CD">
                    <w:rPr>
                      <w:sz w:val="20"/>
                      <w:szCs w:val="20"/>
                    </w:rPr>
                    <w:t xml:space="preserve"> de l’aide s’applique (sauf exceptions).</w:t>
                  </w:r>
                </w:p>
              </w:tc>
            </w:tr>
          </w:tbl>
          <w:p w14:paraId="4301EA3A" w14:textId="77777777" w:rsidR="002256CD" w:rsidRPr="002256CD" w:rsidRDefault="002256CD" w:rsidP="002256CD">
            <w:pPr>
              <w:spacing w:line="276" w:lineRule="auto"/>
              <w:jc w:val="both"/>
              <w:rPr>
                <w:sz w:val="20"/>
                <w:szCs w:val="20"/>
              </w:rPr>
            </w:pPr>
            <w:r w:rsidRPr="002256CD">
              <w:rPr>
                <w:sz w:val="20"/>
                <w:szCs w:val="20"/>
              </w:rPr>
              <w:t xml:space="preserve">Ce principe vise à garantir que l'aide constitue une incitation à développer des activités ou projets nécessaires et à exclure les aides en faveur d'activités que le bénéficiaire entreprendrait de toute façon, même en l'absence d'aide. </w:t>
            </w:r>
          </w:p>
          <w:p w14:paraId="3B83965A" w14:textId="77777777" w:rsidR="002256CD" w:rsidRPr="002256CD" w:rsidRDefault="002256CD" w:rsidP="002256CD">
            <w:pPr>
              <w:spacing w:line="276" w:lineRule="auto"/>
              <w:jc w:val="both"/>
              <w:rPr>
                <w:sz w:val="20"/>
                <w:szCs w:val="20"/>
              </w:rPr>
            </w:pPr>
            <w:r w:rsidRPr="002256CD">
              <w:rPr>
                <w:sz w:val="20"/>
                <w:szCs w:val="20"/>
              </w:rPr>
              <w:t xml:space="preserve">Ainsi, pour démontrer cet effet incitatif, le porteur de projet doit présenter une demande d’aide </w:t>
            </w:r>
            <w:r w:rsidRPr="002256CD">
              <w:rPr>
                <w:b/>
                <w:bCs/>
                <w:sz w:val="20"/>
                <w:szCs w:val="20"/>
              </w:rPr>
              <w:t>avant le début des travaux liés au projet ou à l’activité en question</w:t>
            </w:r>
            <w:r w:rsidRPr="002256CD">
              <w:rPr>
                <w:sz w:val="20"/>
                <w:szCs w:val="20"/>
              </w:rPr>
              <w:t>, qui contient au minimum les informations suivantes :</w:t>
            </w:r>
          </w:p>
          <w:p w14:paraId="422BC806" w14:textId="77777777" w:rsidR="002256CD" w:rsidRPr="002256CD" w:rsidRDefault="002256CD" w:rsidP="002256CD">
            <w:pPr>
              <w:spacing w:line="276" w:lineRule="auto"/>
              <w:jc w:val="both"/>
              <w:rPr>
                <w:sz w:val="20"/>
                <w:szCs w:val="20"/>
              </w:rPr>
            </w:pPr>
            <w:r w:rsidRPr="002256CD">
              <w:rPr>
                <w:sz w:val="20"/>
                <w:szCs w:val="20"/>
              </w:rPr>
              <w:t>- le nom et la taille de l’entreprise ;</w:t>
            </w:r>
          </w:p>
          <w:p w14:paraId="24A5530A" w14:textId="77777777" w:rsidR="002256CD" w:rsidRPr="002256CD" w:rsidRDefault="002256CD" w:rsidP="002256CD">
            <w:pPr>
              <w:spacing w:line="276" w:lineRule="auto"/>
              <w:jc w:val="both"/>
              <w:rPr>
                <w:sz w:val="20"/>
                <w:szCs w:val="20"/>
              </w:rPr>
            </w:pPr>
            <w:r w:rsidRPr="002256CD">
              <w:rPr>
                <w:sz w:val="20"/>
                <w:szCs w:val="20"/>
              </w:rPr>
              <w:t>- une description du projet, de sa durée et de sa localisation ;</w:t>
            </w:r>
          </w:p>
          <w:p w14:paraId="756F7DB2" w14:textId="77777777" w:rsidR="002256CD" w:rsidRPr="002256CD" w:rsidRDefault="002256CD" w:rsidP="002256CD">
            <w:pPr>
              <w:spacing w:line="276" w:lineRule="auto"/>
              <w:jc w:val="both"/>
              <w:rPr>
                <w:sz w:val="20"/>
                <w:szCs w:val="20"/>
              </w:rPr>
            </w:pPr>
            <w:r w:rsidRPr="002256CD">
              <w:rPr>
                <w:sz w:val="20"/>
                <w:szCs w:val="20"/>
              </w:rPr>
              <w:t>- une liste des coûts du projet ;</w:t>
            </w:r>
          </w:p>
          <w:p w14:paraId="5136186A" w14:textId="77777777" w:rsidR="002256CD" w:rsidRPr="002256CD" w:rsidRDefault="002256CD" w:rsidP="002256CD">
            <w:pPr>
              <w:spacing w:line="276" w:lineRule="auto"/>
              <w:jc w:val="both"/>
              <w:rPr>
                <w:sz w:val="20"/>
                <w:szCs w:val="20"/>
              </w:rPr>
            </w:pPr>
            <w:r w:rsidRPr="002256CD">
              <w:rPr>
                <w:sz w:val="20"/>
                <w:szCs w:val="20"/>
              </w:rPr>
              <w:t>- le type d’aide demandé et son montant.</w:t>
            </w:r>
          </w:p>
          <w:p w14:paraId="23537300" w14:textId="77777777" w:rsidR="002256CD" w:rsidRPr="002256CD" w:rsidRDefault="002256CD" w:rsidP="002256CD">
            <w:pPr>
              <w:spacing w:line="276" w:lineRule="auto"/>
              <w:jc w:val="both"/>
              <w:rPr>
                <w:sz w:val="20"/>
                <w:szCs w:val="20"/>
              </w:rPr>
            </w:pPr>
          </w:p>
          <w:p w14:paraId="536F8E55" w14:textId="77777777" w:rsidR="002256CD" w:rsidRPr="002256CD" w:rsidRDefault="002256CD" w:rsidP="002256CD">
            <w:pPr>
              <w:spacing w:line="276" w:lineRule="auto"/>
              <w:jc w:val="both"/>
              <w:rPr>
                <w:sz w:val="20"/>
                <w:szCs w:val="20"/>
              </w:rPr>
            </w:pPr>
            <w:r w:rsidRPr="002256CD">
              <w:rPr>
                <w:i/>
                <w:iCs/>
                <w:sz w:val="20"/>
                <w:szCs w:val="20"/>
              </w:rPr>
              <w:t>Si cet effet n’est pas démontré,</w:t>
            </w:r>
            <w:r w:rsidRPr="002256CD">
              <w:rPr>
                <w:sz w:val="20"/>
                <w:szCs w:val="20"/>
              </w:rPr>
              <w:t xml:space="preserve"> alors l’aide n’est pas autorisée. </w:t>
            </w:r>
          </w:p>
        </w:tc>
      </w:tr>
      <w:tr w:rsidR="002256CD" w:rsidRPr="002256CD" w14:paraId="549E894E" w14:textId="77777777" w:rsidTr="006002A6">
        <w:trPr>
          <w:gridAfter w:val="2"/>
          <w:wAfter w:w="424" w:type="dxa"/>
          <w:trHeight w:val="3449"/>
        </w:trPr>
        <w:tc>
          <w:tcPr>
            <w:tcW w:w="2133" w:type="dxa"/>
            <w:vAlign w:val="center"/>
          </w:tcPr>
          <w:p w14:paraId="0FB165B1" w14:textId="77777777" w:rsidR="002256CD" w:rsidRPr="002256CD" w:rsidRDefault="002256CD" w:rsidP="002256CD">
            <w:pPr>
              <w:spacing w:line="276" w:lineRule="auto"/>
              <w:jc w:val="center"/>
              <w:rPr>
                <w:b/>
                <w:bCs/>
                <w:sz w:val="22"/>
                <w:szCs w:val="22"/>
              </w:rPr>
            </w:pPr>
            <w:r w:rsidRPr="002256CD">
              <w:rPr>
                <w:b/>
                <w:bCs/>
                <w:sz w:val="20"/>
                <w:szCs w:val="20"/>
              </w:rPr>
              <w:t>Commande publique</w:t>
            </w:r>
          </w:p>
        </w:tc>
        <w:tc>
          <w:tcPr>
            <w:tcW w:w="8784" w:type="dxa"/>
            <w:gridSpan w:val="4"/>
          </w:tcPr>
          <w:p w14:paraId="2396F5DE" w14:textId="77777777" w:rsidR="002256CD" w:rsidRDefault="002256CD" w:rsidP="002256CD">
            <w:pPr>
              <w:spacing w:line="276" w:lineRule="auto"/>
              <w:jc w:val="both"/>
              <w:rPr>
                <w:sz w:val="20"/>
                <w:szCs w:val="20"/>
              </w:rPr>
            </w:pPr>
            <w:r w:rsidRPr="002256CD">
              <w:rPr>
                <w:sz w:val="20"/>
                <w:szCs w:val="20"/>
              </w:rPr>
              <w:t>Il est nécessaire de vérifier la nature juridique de la structure porteuse du projet.</w:t>
            </w:r>
          </w:p>
          <w:p w14:paraId="04255941" w14:textId="77777777" w:rsidR="00AF52A0" w:rsidRDefault="00AF52A0" w:rsidP="002256CD">
            <w:pPr>
              <w:spacing w:line="276" w:lineRule="auto"/>
              <w:jc w:val="both"/>
              <w:rPr>
                <w:sz w:val="20"/>
                <w:szCs w:val="20"/>
              </w:rPr>
            </w:pPr>
            <w:r w:rsidRPr="002256CD">
              <w:rPr>
                <w:sz w:val="20"/>
                <w:szCs w:val="20"/>
              </w:rPr>
              <w:t xml:space="preserve">Les </w:t>
            </w:r>
            <w:r w:rsidRPr="002256CD">
              <w:rPr>
                <w:b/>
                <w:bCs/>
                <w:sz w:val="20"/>
                <w:szCs w:val="20"/>
              </w:rPr>
              <w:t>personnes morales de droit public</w:t>
            </w:r>
            <w:r w:rsidRPr="002256CD">
              <w:rPr>
                <w:sz w:val="20"/>
                <w:szCs w:val="20"/>
              </w:rPr>
              <w:t xml:space="preserve"> sont soumises aux règles de la commande publique (État, collectivité territoriale, etc..).</w:t>
            </w:r>
          </w:p>
          <w:p w14:paraId="00CEC000" w14:textId="77777777" w:rsidR="00AF52A0" w:rsidRDefault="00AF52A0" w:rsidP="002256CD">
            <w:pPr>
              <w:spacing w:line="276" w:lineRule="auto"/>
              <w:jc w:val="both"/>
              <w:rPr>
                <w:sz w:val="20"/>
                <w:szCs w:val="20"/>
              </w:rPr>
            </w:pPr>
          </w:p>
          <w:p w14:paraId="716312D2" w14:textId="55073C27" w:rsidR="002256CD" w:rsidRPr="002256CD" w:rsidRDefault="002256CD" w:rsidP="002256CD">
            <w:pPr>
              <w:spacing w:line="276" w:lineRule="auto"/>
              <w:jc w:val="both"/>
              <w:rPr>
                <w:sz w:val="20"/>
                <w:szCs w:val="20"/>
              </w:rPr>
            </w:pPr>
            <w:r w:rsidRPr="002256CD">
              <w:rPr>
                <w:sz w:val="20"/>
                <w:szCs w:val="20"/>
              </w:rPr>
              <w:t xml:space="preserve">Cas des </w:t>
            </w:r>
            <w:r w:rsidRPr="002256CD">
              <w:rPr>
                <w:b/>
                <w:bCs/>
                <w:sz w:val="20"/>
                <w:szCs w:val="20"/>
              </w:rPr>
              <w:t>personnes morales de droit privé</w:t>
            </w:r>
            <w:r w:rsidRPr="002256CD">
              <w:rPr>
                <w:sz w:val="20"/>
                <w:szCs w:val="20"/>
              </w:rPr>
              <w:t xml:space="preserve"> soumises à la commande publique :</w:t>
            </w:r>
          </w:p>
          <w:p w14:paraId="2DAEA793" w14:textId="77777777" w:rsidR="002256CD" w:rsidRPr="002256CD" w:rsidRDefault="002256CD" w:rsidP="002256CD">
            <w:pPr>
              <w:spacing w:line="276" w:lineRule="auto"/>
              <w:jc w:val="both"/>
              <w:rPr>
                <w:sz w:val="20"/>
                <w:szCs w:val="20"/>
              </w:rPr>
            </w:pPr>
            <w:r w:rsidRPr="002256CD">
              <w:rPr>
                <w:sz w:val="20"/>
                <w:szCs w:val="20"/>
              </w:rPr>
              <w:t xml:space="preserve">- les </w:t>
            </w:r>
            <w:r w:rsidRPr="002256CD">
              <w:rPr>
                <w:i/>
                <w:iCs/>
                <w:sz w:val="20"/>
                <w:szCs w:val="20"/>
              </w:rPr>
              <w:t>« personnes morales de droit privé »</w:t>
            </w:r>
            <w:r w:rsidRPr="002256CD">
              <w:rPr>
                <w:sz w:val="20"/>
                <w:szCs w:val="20"/>
              </w:rPr>
              <w:t xml:space="preserve"> créées pour satisfaire spécifiquement des besoins d’intérêt général ayant un caractère autre qu’industriel ou commercial, et dont : </w:t>
            </w:r>
          </w:p>
          <w:p w14:paraId="205F6EA6" w14:textId="77777777" w:rsidR="002256CD" w:rsidRPr="002256CD" w:rsidRDefault="002256CD" w:rsidP="002256CD">
            <w:pPr>
              <w:spacing w:line="276" w:lineRule="auto"/>
              <w:jc w:val="both"/>
              <w:rPr>
                <w:sz w:val="20"/>
                <w:szCs w:val="20"/>
              </w:rPr>
            </w:pPr>
            <w:r w:rsidRPr="002256CD">
              <w:rPr>
                <w:sz w:val="20"/>
                <w:szCs w:val="20"/>
              </w:rPr>
              <w:t xml:space="preserve">a) soit l’activité est financée majoritairement par un pouvoir adjudicateur ; </w:t>
            </w:r>
          </w:p>
          <w:p w14:paraId="082496C9" w14:textId="77777777" w:rsidR="002256CD" w:rsidRPr="002256CD" w:rsidRDefault="002256CD" w:rsidP="002256CD">
            <w:pPr>
              <w:spacing w:line="276" w:lineRule="auto"/>
              <w:jc w:val="both"/>
              <w:rPr>
                <w:sz w:val="20"/>
                <w:szCs w:val="20"/>
              </w:rPr>
            </w:pPr>
            <w:r w:rsidRPr="002256CD">
              <w:rPr>
                <w:sz w:val="20"/>
                <w:szCs w:val="20"/>
              </w:rPr>
              <w:t>b) soit la gestion est soumise à un contrôle par un pouvoir adjudicateur ;</w:t>
            </w:r>
          </w:p>
          <w:p w14:paraId="7EB948E3" w14:textId="77777777" w:rsidR="002256CD" w:rsidRPr="002256CD" w:rsidRDefault="002256CD" w:rsidP="002256CD">
            <w:pPr>
              <w:spacing w:line="276" w:lineRule="auto"/>
              <w:jc w:val="both"/>
              <w:rPr>
                <w:sz w:val="20"/>
                <w:szCs w:val="20"/>
              </w:rPr>
            </w:pPr>
            <w:r w:rsidRPr="002256CD">
              <w:rPr>
                <w:sz w:val="20"/>
                <w:szCs w:val="20"/>
              </w:rPr>
              <w:t>c) soit l’organe d’administration, de direction ou de surveillance est composé de membres dont plus de la moitié sont désignés par un pouvoir adjudicateur ;</w:t>
            </w:r>
          </w:p>
          <w:p w14:paraId="252E26F0" w14:textId="77777777" w:rsidR="002256CD" w:rsidRPr="002256CD" w:rsidRDefault="002256CD" w:rsidP="002256CD">
            <w:pPr>
              <w:spacing w:line="276" w:lineRule="auto"/>
              <w:jc w:val="both"/>
              <w:rPr>
                <w:sz w:val="20"/>
                <w:szCs w:val="20"/>
              </w:rPr>
            </w:pPr>
            <w:r w:rsidRPr="002256CD">
              <w:rPr>
                <w:sz w:val="20"/>
                <w:szCs w:val="20"/>
              </w:rPr>
              <w:t>- les organismes de droit privé constitués par des pouvoirs adjudicateurs dans l’objectif de réaliser certaines activités en commun.</w:t>
            </w:r>
          </w:p>
          <w:p w14:paraId="31D9EDF7" w14:textId="77777777" w:rsidR="002256CD" w:rsidRDefault="002256CD" w:rsidP="002256CD">
            <w:pPr>
              <w:spacing w:line="276" w:lineRule="auto"/>
              <w:jc w:val="both"/>
              <w:rPr>
                <w:sz w:val="20"/>
                <w:szCs w:val="20"/>
              </w:rPr>
            </w:pPr>
          </w:p>
          <w:p w14:paraId="15A3076A" w14:textId="77777777" w:rsidR="00AF52A0" w:rsidRDefault="00AF52A0" w:rsidP="00AF52A0">
            <w:pPr>
              <w:pStyle w:val="Default"/>
              <w:pBdr>
                <w:top w:val="single" w:sz="4" w:space="1" w:color="auto"/>
              </w:pBdr>
              <w:jc w:val="both"/>
              <w:rPr>
                <w:b/>
                <w:bCs/>
                <w:sz w:val="20"/>
                <w:szCs w:val="20"/>
              </w:rPr>
            </w:pPr>
          </w:p>
          <w:p w14:paraId="2A54E0D4" w14:textId="6C3057BE" w:rsidR="00AF52A0" w:rsidRPr="00AF52A0" w:rsidRDefault="00AF52A0" w:rsidP="00AF52A0">
            <w:pPr>
              <w:pStyle w:val="Default"/>
              <w:pBdr>
                <w:top w:val="single" w:sz="4" w:space="1" w:color="auto"/>
              </w:pBdr>
              <w:jc w:val="both"/>
              <w:rPr>
                <w:b/>
                <w:bCs/>
                <w:sz w:val="20"/>
                <w:szCs w:val="20"/>
                <w:u w:val="single"/>
              </w:rPr>
            </w:pPr>
            <w:r w:rsidRPr="00AF52A0">
              <w:rPr>
                <w:b/>
                <w:bCs/>
                <w:sz w:val="20"/>
                <w:szCs w:val="20"/>
                <w:u w:val="single"/>
              </w:rPr>
              <w:t xml:space="preserve">Pour les porteurs de projet non soumis au code de la commande publique </w:t>
            </w:r>
          </w:p>
          <w:p w14:paraId="490B851C" w14:textId="77777777" w:rsidR="00AF52A0" w:rsidRDefault="00AF52A0" w:rsidP="00AF52A0">
            <w:pPr>
              <w:pStyle w:val="Default"/>
              <w:pBdr>
                <w:top w:val="single" w:sz="4" w:space="1" w:color="auto"/>
              </w:pBdr>
              <w:jc w:val="both"/>
              <w:rPr>
                <w:sz w:val="20"/>
                <w:szCs w:val="20"/>
              </w:rPr>
            </w:pPr>
          </w:p>
          <w:p w14:paraId="1541FF88" w14:textId="77777777" w:rsidR="00AF52A0" w:rsidRDefault="00AF52A0" w:rsidP="00AF52A0">
            <w:pPr>
              <w:pStyle w:val="Default"/>
              <w:pBdr>
                <w:top w:val="single" w:sz="4" w:space="1" w:color="auto"/>
              </w:pBdr>
              <w:jc w:val="both"/>
              <w:rPr>
                <w:sz w:val="20"/>
                <w:szCs w:val="20"/>
              </w:rPr>
            </w:pPr>
            <w:r>
              <w:rPr>
                <w:b/>
                <w:bCs/>
                <w:sz w:val="20"/>
                <w:szCs w:val="20"/>
              </w:rPr>
              <w:t xml:space="preserve">Si le porteur de projet a une procédure interne d’achat, ce sont ces règles qui s’appliquent. </w:t>
            </w:r>
          </w:p>
          <w:p w14:paraId="1FF4C812" w14:textId="77777777" w:rsidR="00AF52A0" w:rsidRDefault="00AF52A0" w:rsidP="00AF52A0">
            <w:pPr>
              <w:pStyle w:val="Default"/>
              <w:pBdr>
                <w:top w:val="single" w:sz="4" w:space="1" w:color="auto"/>
              </w:pBdr>
              <w:jc w:val="both"/>
              <w:rPr>
                <w:sz w:val="20"/>
                <w:szCs w:val="20"/>
              </w:rPr>
            </w:pPr>
            <w:r>
              <w:rPr>
                <w:sz w:val="20"/>
                <w:szCs w:val="20"/>
              </w:rPr>
              <w:t xml:space="preserve">Il est nécessaire de la transmettre au service instructeur. A défaut les règles ci-dessous s’appliquent : </w:t>
            </w:r>
          </w:p>
          <w:p w14:paraId="0CAC0ED8" w14:textId="77777777" w:rsidR="00AF52A0" w:rsidRDefault="00AF52A0" w:rsidP="00AF52A0">
            <w:pPr>
              <w:pStyle w:val="Default"/>
              <w:jc w:val="both"/>
              <w:rPr>
                <w:sz w:val="20"/>
                <w:szCs w:val="20"/>
              </w:rPr>
            </w:pPr>
            <w:r>
              <w:rPr>
                <w:sz w:val="20"/>
                <w:szCs w:val="20"/>
              </w:rPr>
              <w:t xml:space="preserve">- les porteurs de projet doivent respecter </w:t>
            </w:r>
            <w:r>
              <w:rPr>
                <w:b/>
                <w:bCs/>
                <w:sz w:val="20"/>
                <w:szCs w:val="20"/>
              </w:rPr>
              <w:t xml:space="preserve">l’obligation de mise en concurrence </w:t>
            </w:r>
            <w:r>
              <w:rPr>
                <w:sz w:val="20"/>
                <w:szCs w:val="20"/>
              </w:rPr>
              <w:t xml:space="preserve">pour tout achat de biens, de fournitures ou de services figurant en dépenses directes dans le plan de financement, supérieur ou égal à 1 000 euros HT ; </w:t>
            </w:r>
          </w:p>
          <w:p w14:paraId="3FC21FB4" w14:textId="77777777" w:rsidR="00AF52A0" w:rsidRDefault="00AF52A0" w:rsidP="00AF52A0">
            <w:pPr>
              <w:pStyle w:val="Default"/>
              <w:jc w:val="both"/>
              <w:rPr>
                <w:sz w:val="20"/>
                <w:szCs w:val="20"/>
              </w:rPr>
            </w:pPr>
            <w:r>
              <w:rPr>
                <w:sz w:val="20"/>
                <w:szCs w:val="20"/>
              </w:rPr>
              <w:t>- la mise en concurrence est justifiée par la fourniture d’au moins trois demandes de devis, le(s) devis fournis et une trace écrite de la sélection du candidat (si l’offre choisie n’est pas la moins-</w:t>
            </w:r>
            <w:proofErr w:type="spellStart"/>
            <w:r>
              <w:rPr>
                <w:sz w:val="20"/>
                <w:szCs w:val="20"/>
              </w:rPr>
              <w:t>disante</w:t>
            </w:r>
            <w:proofErr w:type="spellEnd"/>
            <w:r>
              <w:rPr>
                <w:sz w:val="20"/>
                <w:szCs w:val="20"/>
              </w:rPr>
              <w:t xml:space="preserve">). </w:t>
            </w:r>
          </w:p>
          <w:p w14:paraId="0E6B4BF4" w14:textId="77777777" w:rsidR="00AF52A0" w:rsidRDefault="00AF52A0" w:rsidP="00AF52A0">
            <w:pPr>
              <w:pStyle w:val="Default"/>
              <w:jc w:val="both"/>
              <w:rPr>
                <w:sz w:val="20"/>
                <w:szCs w:val="20"/>
              </w:rPr>
            </w:pPr>
          </w:p>
          <w:p w14:paraId="3A8D19F7" w14:textId="621013E8" w:rsidR="00AF52A0" w:rsidRDefault="00AF52A0" w:rsidP="00AF52A0">
            <w:pPr>
              <w:spacing w:line="276" w:lineRule="auto"/>
              <w:jc w:val="both"/>
              <w:rPr>
                <w:b/>
                <w:bCs/>
                <w:sz w:val="20"/>
                <w:szCs w:val="20"/>
                <w:u w:val="single"/>
              </w:rPr>
            </w:pPr>
            <w:r w:rsidRPr="00AF52A0">
              <w:rPr>
                <w:b/>
                <w:bCs/>
                <w:sz w:val="20"/>
                <w:szCs w:val="20"/>
                <w:u w:val="single"/>
              </w:rPr>
              <w:t xml:space="preserve">Pour les porteurs de projet soumis au code de la commande publique </w:t>
            </w:r>
          </w:p>
          <w:p w14:paraId="4C74C77F" w14:textId="77777777" w:rsidR="00AF52A0" w:rsidRPr="00AF52A0" w:rsidRDefault="00AF52A0" w:rsidP="00AF52A0">
            <w:pPr>
              <w:spacing w:line="276" w:lineRule="auto"/>
              <w:jc w:val="both"/>
              <w:rPr>
                <w:sz w:val="20"/>
                <w:szCs w:val="20"/>
                <w:u w:val="single"/>
              </w:rPr>
            </w:pPr>
          </w:p>
          <w:p w14:paraId="2A671BB7" w14:textId="77777777" w:rsidR="00AF52A0" w:rsidRDefault="00AF52A0" w:rsidP="00AF52A0">
            <w:pPr>
              <w:pStyle w:val="Default"/>
              <w:jc w:val="both"/>
              <w:rPr>
                <w:sz w:val="20"/>
                <w:szCs w:val="20"/>
              </w:rPr>
            </w:pPr>
            <w:r>
              <w:rPr>
                <w:b/>
                <w:bCs/>
                <w:sz w:val="20"/>
                <w:szCs w:val="20"/>
              </w:rPr>
              <w:t xml:space="preserve">Pour les marchés d’une valeur estimée à moins de 40 000 euros HT </w:t>
            </w:r>
            <w:r>
              <w:rPr>
                <w:sz w:val="20"/>
                <w:szCs w:val="20"/>
              </w:rPr>
              <w:t xml:space="preserve">(seuils qui sont amenés à évoluer), l’acheteur public a pour seule obligation de choisir une offre pertinente, de faire une bonne utilisation des deniers publics et de ne pas contracter systématiquement avec un même fournisseur lorsqu'il y a plusieurs offres susceptibles de répondre à son besoin. </w:t>
            </w:r>
          </w:p>
          <w:p w14:paraId="509F001D" w14:textId="77777777" w:rsidR="00AF52A0" w:rsidRDefault="00AF52A0" w:rsidP="00AF52A0">
            <w:pPr>
              <w:pStyle w:val="Default"/>
              <w:jc w:val="both"/>
              <w:rPr>
                <w:sz w:val="20"/>
                <w:szCs w:val="20"/>
              </w:rPr>
            </w:pPr>
            <w:r>
              <w:rPr>
                <w:sz w:val="20"/>
                <w:szCs w:val="20"/>
              </w:rPr>
              <w:t xml:space="preserve">L’acheteur doit tracer, de manière proportionnée à l’achat, la consultation, l’analyse et les arguments motivant le choix du prestataire. </w:t>
            </w:r>
          </w:p>
          <w:p w14:paraId="7ED4410E" w14:textId="77777777" w:rsidR="00AF52A0" w:rsidRDefault="00AF52A0" w:rsidP="00AF52A0">
            <w:pPr>
              <w:pStyle w:val="Default"/>
              <w:jc w:val="both"/>
              <w:rPr>
                <w:sz w:val="20"/>
                <w:szCs w:val="20"/>
              </w:rPr>
            </w:pPr>
            <w:r>
              <w:rPr>
                <w:sz w:val="20"/>
                <w:szCs w:val="20"/>
              </w:rPr>
              <w:t xml:space="preserve">Si une </w:t>
            </w:r>
            <w:r>
              <w:rPr>
                <w:b/>
                <w:bCs/>
                <w:sz w:val="20"/>
                <w:szCs w:val="20"/>
              </w:rPr>
              <w:t xml:space="preserve">procédure interne d’achat plus contraignante existe, celle-ci s’applique et doit être transmise au service instructeur. </w:t>
            </w:r>
          </w:p>
          <w:p w14:paraId="2FD0C533" w14:textId="77777777" w:rsidR="00AF52A0" w:rsidRDefault="00AF52A0" w:rsidP="00AF52A0">
            <w:pPr>
              <w:pStyle w:val="Default"/>
              <w:jc w:val="both"/>
              <w:rPr>
                <w:sz w:val="20"/>
                <w:szCs w:val="20"/>
              </w:rPr>
            </w:pPr>
            <w:r>
              <w:rPr>
                <w:sz w:val="20"/>
                <w:szCs w:val="20"/>
              </w:rPr>
              <w:t xml:space="preserve">À défaut, les pièces justificatives suivantes doivent être transmises pour tracer les étapes de la procédure de passation (liste non exhaustive) : </w:t>
            </w:r>
          </w:p>
          <w:p w14:paraId="772A0CF7" w14:textId="77777777" w:rsidR="00AF52A0" w:rsidRDefault="00AF52A0" w:rsidP="00AF52A0">
            <w:pPr>
              <w:pStyle w:val="Default"/>
              <w:jc w:val="both"/>
              <w:rPr>
                <w:sz w:val="20"/>
                <w:szCs w:val="20"/>
              </w:rPr>
            </w:pPr>
            <w:r>
              <w:rPr>
                <w:sz w:val="20"/>
                <w:szCs w:val="20"/>
              </w:rPr>
              <w:t xml:space="preserve">- sollicitations éventuelles de fournisseurs, consultation ; </w:t>
            </w:r>
          </w:p>
          <w:p w14:paraId="23405EF6" w14:textId="77777777" w:rsidR="00AF52A0" w:rsidRDefault="00AF52A0" w:rsidP="00AF52A0">
            <w:pPr>
              <w:pStyle w:val="Default"/>
              <w:jc w:val="both"/>
              <w:rPr>
                <w:sz w:val="20"/>
                <w:szCs w:val="20"/>
              </w:rPr>
            </w:pPr>
            <w:r>
              <w:rPr>
                <w:sz w:val="20"/>
                <w:szCs w:val="20"/>
              </w:rPr>
              <w:t xml:space="preserve">- plusieurs devis, catalogue de fournisseurs présélectionnés ou tout document probant équivalent ; </w:t>
            </w:r>
          </w:p>
          <w:p w14:paraId="7787C753" w14:textId="77777777" w:rsidR="00AF52A0" w:rsidRDefault="00AF52A0" w:rsidP="00AF52A0">
            <w:pPr>
              <w:pStyle w:val="Default"/>
              <w:jc w:val="both"/>
              <w:rPr>
                <w:sz w:val="20"/>
                <w:szCs w:val="20"/>
              </w:rPr>
            </w:pPr>
            <w:r>
              <w:rPr>
                <w:sz w:val="20"/>
                <w:szCs w:val="20"/>
              </w:rPr>
              <w:t xml:space="preserve">- note de l'acheteur ou tout élément permettant de justifier la sélection du candidat. </w:t>
            </w:r>
          </w:p>
          <w:p w14:paraId="1B3A6392" w14:textId="0FC8E8C7" w:rsidR="00AF52A0" w:rsidRDefault="00AF52A0" w:rsidP="00AF52A0">
            <w:pPr>
              <w:spacing w:line="276" w:lineRule="auto"/>
              <w:jc w:val="both"/>
            </w:pPr>
            <w:r>
              <w:rPr>
                <w:b/>
                <w:bCs/>
                <w:sz w:val="20"/>
                <w:szCs w:val="20"/>
              </w:rPr>
              <w:t>Au-</w:t>
            </w:r>
            <w:r w:rsidRPr="00AF52A0">
              <w:rPr>
                <w:b/>
                <w:bCs/>
                <w:sz w:val="20"/>
                <w:szCs w:val="20"/>
              </w:rPr>
              <w:t xml:space="preserve">delà de 40 000 euros HT </w:t>
            </w:r>
            <w:r w:rsidRPr="00AF52A0">
              <w:rPr>
                <w:sz w:val="20"/>
                <w:szCs w:val="20"/>
              </w:rPr>
              <w:t>(seuil actuel) et jusqu’aux seuils formalisés, les règles des à procédure adaptée s’appliquent (sauf procédure interne d’achat plus contraignante).</w:t>
            </w:r>
            <w:r>
              <w:t xml:space="preserve"> </w:t>
            </w:r>
          </w:p>
          <w:p w14:paraId="6AC7ED78" w14:textId="77381FAF" w:rsidR="00AF52A0" w:rsidRDefault="00AF52A0" w:rsidP="00AF52A0">
            <w:pPr>
              <w:spacing w:line="276" w:lineRule="auto"/>
              <w:jc w:val="both"/>
              <w:rPr>
                <w:sz w:val="20"/>
                <w:szCs w:val="20"/>
              </w:rPr>
            </w:pPr>
            <w:r>
              <w:rPr>
                <w:sz w:val="20"/>
                <w:szCs w:val="20"/>
              </w:rPr>
              <w:t xml:space="preserve"> </w:t>
            </w:r>
          </w:p>
          <w:p w14:paraId="769887CC" w14:textId="490B9490" w:rsidR="00AF52A0" w:rsidRPr="002256CD" w:rsidRDefault="00AF52A0" w:rsidP="00AF52A0">
            <w:pPr>
              <w:spacing w:line="276" w:lineRule="auto"/>
              <w:jc w:val="both"/>
              <w:rPr>
                <w:sz w:val="20"/>
                <w:szCs w:val="20"/>
              </w:rPr>
            </w:pPr>
          </w:p>
        </w:tc>
      </w:tr>
      <w:tr w:rsidR="002256CD" w:rsidRPr="002256CD" w14:paraId="587C71D2" w14:textId="77777777" w:rsidTr="006002A6">
        <w:trPr>
          <w:gridAfter w:val="2"/>
          <w:wAfter w:w="424" w:type="dxa"/>
          <w:trHeight w:val="510"/>
        </w:trPr>
        <w:tc>
          <w:tcPr>
            <w:tcW w:w="2133" w:type="dxa"/>
            <w:vMerge w:val="restart"/>
            <w:vAlign w:val="center"/>
          </w:tcPr>
          <w:p w14:paraId="60852806" w14:textId="77777777" w:rsidR="002256CD" w:rsidRPr="002256CD" w:rsidRDefault="002256CD" w:rsidP="002256CD">
            <w:pPr>
              <w:spacing w:line="276" w:lineRule="auto"/>
              <w:jc w:val="center"/>
              <w:rPr>
                <w:b/>
                <w:bCs/>
                <w:sz w:val="22"/>
                <w:szCs w:val="22"/>
              </w:rPr>
            </w:pPr>
            <w:r w:rsidRPr="002256CD">
              <w:rPr>
                <w:b/>
                <w:bCs/>
                <w:sz w:val="20"/>
                <w:szCs w:val="20"/>
              </w:rPr>
              <w:lastRenderedPageBreak/>
              <w:t>Indicateurs</w:t>
            </w:r>
          </w:p>
        </w:tc>
        <w:tc>
          <w:tcPr>
            <w:tcW w:w="2408" w:type="dxa"/>
            <w:gridSpan w:val="2"/>
            <w:vAlign w:val="center"/>
          </w:tcPr>
          <w:p w14:paraId="6F5D4D7C" w14:textId="77777777" w:rsidR="002256CD" w:rsidRPr="002256CD" w:rsidRDefault="002256CD" w:rsidP="002256CD">
            <w:pPr>
              <w:spacing w:line="276" w:lineRule="auto"/>
              <w:rPr>
                <w:sz w:val="20"/>
                <w:szCs w:val="20"/>
              </w:rPr>
            </w:pPr>
            <w:r w:rsidRPr="002256CD">
              <w:rPr>
                <w:sz w:val="20"/>
                <w:szCs w:val="20"/>
              </w:rPr>
              <w:t xml:space="preserve">Indicateurs </w:t>
            </w:r>
            <w:r w:rsidRPr="002256CD">
              <w:rPr>
                <w:sz w:val="20"/>
                <w:szCs w:val="20"/>
              </w:rPr>
              <w:br/>
              <w:t>de réalisation</w:t>
            </w:r>
          </w:p>
        </w:tc>
        <w:tc>
          <w:tcPr>
            <w:tcW w:w="6376" w:type="dxa"/>
            <w:gridSpan w:val="2"/>
          </w:tcPr>
          <w:p w14:paraId="6972900C" w14:textId="77777777" w:rsidR="002256CD" w:rsidRPr="002256CD" w:rsidRDefault="002256CD" w:rsidP="002256CD">
            <w:pPr>
              <w:spacing w:line="276" w:lineRule="auto"/>
              <w:jc w:val="both"/>
              <w:rPr>
                <w:sz w:val="20"/>
                <w:szCs w:val="20"/>
              </w:rPr>
            </w:pPr>
            <w:r w:rsidRPr="002256CD">
              <w:rPr>
                <w:sz w:val="20"/>
                <w:szCs w:val="20"/>
              </w:rPr>
              <w:t>EECO01 – Nombre total des participants</w:t>
            </w:r>
          </w:p>
          <w:p w14:paraId="6B0CFBE4" w14:textId="77777777" w:rsidR="002256CD" w:rsidRPr="002256CD" w:rsidRDefault="002256CD" w:rsidP="002256CD">
            <w:pPr>
              <w:spacing w:line="276" w:lineRule="auto"/>
              <w:jc w:val="both"/>
              <w:rPr>
                <w:sz w:val="20"/>
                <w:szCs w:val="20"/>
              </w:rPr>
            </w:pPr>
            <w:r w:rsidRPr="002256CD">
              <w:rPr>
                <w:sz w:val="20"/>
                <w:szCs w:val="20"/>
              </w:rPr>
              <w:t>EECO02 – Chômeurs, y compris les chômeurs de longue durée</w:t>
            </w:r>
          </w:p>
          <w:p w14:paraId="60B9F1C1" w14:textId="6B63CF1A" w:rsidR="002256CD" w:rsidRPr="002256CD" w:rsidRDefault="002256CD" w:rsidP="002256CD">
            <w:pPr>
              <w:spacing w:line="276" w:lineRule="auto"/>
              <w:jc w:val="both"/>
              <w:rPr>
                <w:sz w:val="20"/>
                <w:szCs w:val="20"/>
              </w:rPr>
            </w:pPr>
            <w:r w:rsidRPr="002256CD">
              <w:rPr>
                <w:sz w:val="20"/>
                <w:szCs w:val="20"/>
              </w:rPr>
              <w:t>ISO4aFEM - Nombre total de femmes accompagnées</w:t>
            </w:r>
            <w:r w:rsidRPr="002256CD" w:rsidDel="002B5AFA">
              <w:rPr>
                <w:sz w:val="20"/>
                <w:szCs w:val="20"/>
              </w:rPr>
              <w:t xml:space="preserve"> </w:t>
            </w:r>
          </w:p>
        </w:tc>
      </w:tr>
      <w:tr w:rsidR="002256CD" w:rsidRPr="002256CD" w14:paraId="6FCB9E59" w14:textId="77777777" w:rsidTr="006002A6">
        <w:trPr>
          <w:gridAfter w:val="2"/>
          <w:wAfter w:w="424" w:type="dxa"/>
          <w:trHeight w:val="677"/>
        </w:trPr>
        <w:tc>
          <w:tcPr>
            <w:tcW w:w="2133" w:type="dxa"/>
            <w:vMerge/>
            <w:vAlign w:val="center"/>
          </w:tcPr>
          <w:p w14:paraId="39277708" w14:textId="77777777" w:rsidR="002256CD" w:rsidRPr="002256CD" w:rsidRDefault="002256CD" w:rsidP="002256CD">
            <w:pPr>
              <w:numPr>
                <w:ilvl w:val="0"/>
                <w:numId w:val="2"/>
              </w:numPr>
              <w:spacing w:line="276" w:lineRule="auto"/>
              <w:rPr>
                <w:b/>
                <w:bCs/>
                <w:sz w:val="22"/>
                <w:szCs w:val="22"/>
              </w:rPr>
            </w:pPr>
          </w:p>
        </w:tc>
        <w:tc>
          <w:tcPr>
            <w:tcW w:w="2408" w:type="dxa"/>
            <w:gridSpan w:val="2"/>
            <w:vAlign w:val="center"/>
          </w:tcPr>
          <w:p w14:paraId="3A0E3D68" w14:textId="77777777" w:rsidR="002256CD" w:rsidRPr="002256CD" w:rsidRDefault="002256CD" w:rsidP="002256CD">
            <w:pPr>
              <w:spacing w:line="276" w:lineRule="auto"/>
              <w:rPr>
                <w:sz w:val="20"/>
                <w:szCs w:val="20"/>
              </w:rPr>
            </w:pPr>
            <w:r w:rsidRPr="002256CD">
              <w:rPr>
                <w:sz w:val="20"/>
                <w:szCs w:val="20"/>
              </w:rPr>
              <w:t xml:space="preserve">Indicateurs </w:t>
            </w:r>
            <w:r w:rsidRPr="002256CD">
              <w:rPr>
                <w:sz w:val="20"/>
                <w:szCs w:val="20"/>
              </w:rPr>
              <w:br/>
              <w:t>de résultat</w:t>
            </w:r>
          </w:p>
        </w:tc>
        <w:tc>
          <w:tcPr>
            <w:tcW w:w="6376" w:type="dxa"/>
            <w:gridSpan w:val="2"/>
          </w:tcPr>
          <w:p w14:paraId="468ECFED" w14:textId="61B729CF" w:rsidR="002256CD" w:rsidRPr="002256CD" w:rsidRDefault="002256CD" w:rsidP="002256CD">
            <w:pPr>
              <w:spacing w:line="276" w:lineRule="auto"/>
              <w:jc w:val="both"/>
              <w:rPr>
                <w:sz w:val="20"/>
                <w:szCs w:val="20"/>
              </w:rPr>
            </w:pPr>
            <w:r w:rsidRPr="002256CD">
              <w:rPr>
                <w:sz w:val="20"/>
                <w:szCs w:val="20"/>
              </w:rPr>
              <w:t>EECR04 – Personnes exerçant un emploi au terme de leur participation</w:t>
            </w:r>
          </w:p>
        </w:tc>
      </w:tr>
      <w:tr w:rsidR="002256CD" w:rsidRPr="002256CD" w14:paraId="54F693D0" w14:textId="77777777" w:rsidTr="006002A6">
        <w:trPr>
          <w:gridAfter w:val="1"/>
          <w:wAfter w:w="409" w:type="dxa"/>
          <w:trHeight w:val="338"/>
        </w:trPr>
        <w:tc>
          <w:tcPr>
            <w:tcW w:w="10932" w:type="dxa"/>
            <w:gridSpan w:val="6"/>
            <w:vAlign w:val="center"/>
          </w:tcPr>
          <w:p w14:paraId="7186A1B5" w14:textId="77777777" w:rsidR="002256CD" w:rsidRPr="002256CD" w:rsidRDefault="002256CD" w:rsidP="002256CD">
            <w:pPr>
              <w:spacing w:line="276" w:lineRule="auto"/>
              <w:jc w:val="both"/>
              <w:rPr>
                <w:sz w:val="22"/>
                <w:szCs w:val="22"/>
              </w:rPr>
            </w:pPr>
            <w:r w:rsidRPr="002256CD">
              <w:rPr>
                <w:sz w:val="20"/>
                <w:szCs w:val="20"/>
              </w:rPr>
              <w:t xml:space="preserve">La définition des indicateurs et les modalités de transmission des données relatives à ces indicateurs sont indiquées dans la Fiche méthode 1 </w:t>
            </w:r>
            <w:r w:rsidRPr="002256CD">
              <w:rPr>
                <w:i/>
                <w:iCs/>
                <w:sz w:val="20"/>
                <w:szCs w:val="20"/>
              </w:rPr>
              <w:t>« de la demande de subvention au conventionnement ».</w:t>
            </w:r>
          </w:p>
        </w:tc>
      </w:tr>
      <w:tr w:rsidR="002256CD" w:rsidRPr="002256CD" w14:paraId="5F74E589" w14:textId="77777777" w:rsidTr="006002A6">
        <w:trPr>
          <w:gridAfter w:val="2"/>
          <w:wAfter w:w="424" w:type="dxa"/>
          <w:trHeight w:val="261"/>
        </w:trPr>
        <w:tc>
          <w:tcPr>
            <w:tcW w:w="2133" w:type="dxa"/>
          </w:tcPr>
          <w:p w14:paraId="12918488" w14:textId="77777777" w:rsidR="002256CD" w:rsidRPr="002256CD" w:rsidRDefault="002256CD" w:rsidP="002256CD">
            <w:pPr>
              <w:spacing w:line="276" w:lineRule="auto"/>
              <w:jc w:val="center"/>
              <w:rPr>
                <w:b/>
                <w:bCs/>
                <w:sz w:val="20"/>
                <w:szCs w:val="20"/>
              </w:rPr>
            </w:pPr>
            <w:r w:rsidRPr="002256CD">
              <w:rPr>
                <w:b/>
                <w:bCs/>
                <w:sz w:val="20"/>
                <w:szCs w:val="20"/>
              </w:rPr>
              <w:t>Contact</w:t>
            </w:r>
          </w:p>
        </w:tc>
        <w:tc>
          <w:tcPr>
            <w:tcW w:w="8784" w:type="dxa"/>
            <w:gridSpan w:val="4"/>
          </w:tcPr>
          <w:p w14:paraId="73961372" w14:textId="7DA277B9" w:rsidR="002256CD" w:rsidRPr="002256CD" w:rsidRDefault="001800BC" w:rsidP="002256CD">
            <w:pPr>
              <w:spacing w:line="276" w:lineRule="auto"/>
              <w:rPr>
                <w:sz w:val="20"/>
                <w:szCs w:val="20"/>
              </w:rPr>
            </w:pPr>
            <w:r w:rsidRPr="001800BC">
              <w:rPr>
                <w:sz w:val="20"/>
                <w:szCs w:val="20"/>
              </w:rPr>
              <w:t>contact-feder-fse@cci-paris-idf.fr</w:t>
            </w:r>
          </w:p>
        </w:tc>
      </w:tr>
      <w:bookmarkEnd w:id="18"/>
    </w:tbl>
    <w:p w14:paraId="2B2529B1" w14:textId="7AA0DA37" w:rsidR="002256CD" w:rsidRPr="002256CD" w:rsidRDefault="002256CD" w:rsidP="00C0606D">
      <w:pPr>
        <w:rPr>
          <w:sz w:val="22"/>
          <w:szCs w:val="22"/>
        </w:rPr>
      </w:pPr>
    </w:p>
    <w:sectPr w:rsidR="002256CD" w:rsidRPr="002256CD" w:rsidSect="00A63918">
      <w:footerReference w:type="default" r:id="rId12"/>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7FD5C9" w14:textId="77777777" w:rsidR="002256CD" w:rsidRDefault="002256CD" w:rsidP="002256CD">
      <w:r>
        <w:separator/>
      </w:r>
    </w:p>
  </w:endnote>
  <w:endnote w:type="continuationSeparator" w:id="0">
    <w:p w14:paraId="64A5EAB4" w14:textId="77777777" w:rsidR="002256CD" w:rsidRDefault="002256CD" w:rsidP="00225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F9EA9" w14:textId="058612E3" w:rsidR="00A63918" w:rsidRDefault="00A63918" w:rsidP="00A63918">
    <w:pPr>
      <w:spacing w:before="14" w:line="261" w:lineRule="auto"/>
      <w:ind w:left="20"/>
      <w:rPr>
        <w:sz w:val="18"/>
      </w:rPr>
    </w:pPr>
    <w:r>
      <w:rPr>
        <w:sz w:val="18"/>
      </w:rPr>
      <w:t>Programme</w:t>
    </w:r>
    <w:r>
      <w:rPr>
        <w:spacing w:val="-3"/>
        <w:sz w:val="18"/>
      </w:rPr>
      <w:t xml:space="preserve"> </w:t>
    </w:r>
    <w:r>
      <w:rPr>
        <w:sz w:val="18"/>
      </w:rPr>
      <w:t>régional</w:t>
    </w:r>
    <w:r>
      <w:rPr>
        <w:spacing w:val="-4"/>
        <w:sz w:val="18"/>
      </w:rPr>
      <w:t xml:space="preserve"> </w:t>
    </w:r>
    <w:r>
      <w:rPr>
        <w:sz w:val="18"/>
      </w:rPr>
      <w:t>de</w:t>
    </w:r>
    <w:r>
      <w:rPr>
        <w:spacing w:val="-4"/>
        <w:sz w:val="18"/>
      </w:rPr>
      <w:t xml:space="preserve"> </w:t>
    </w:r>
    <w:r>
      <w:rPr>
        <w:sz w:val="18"/>
      </w:rPr>
      <w:t>l’Île-de-France</w:t>
    </w:r>
    <w:r>
      <w:rPr>
        <w:spacing w:val="-3"/>
        <w:sz w:val="18"/>
      </w:rPr>
      <w:t xml:space="preserve"> </w:t>
    </w:r>
    <w:r>
      <w:rPr>
        <w:sz w:val="18"/>
      </w:rPr>
      <w:t>et</w:t>
    </w:r>
    <w:r>
      <w:rPr>
        <w:spacing w:val="-4"/>
        <w:sz w:val="18"/>
      </w:rPr>
      <w:t xml:space="preserve"> </w:t>
    </w:r>
    <w:r>
      <w:rPr>
        <w:sz w:val="18"/>
      </w:rPr>
      <w:t>du</w:t>
    </w:r>
    <w:r>
      <w:rPr>
        <w:spacing w:val="-4"/>
        <w:sz w:val="18"/>
      </w:rPr>
      <w:t xml:space="preserve"> </w:t>
    </w:r>
    <w:r>
      <w:rPr>
        <w:sz w:val="18"/>
      </w:rPr>
      <w:t>bassin</w:t>
    </w:r>
    <w:r>
      <w:rPr>
        <w:spacing w:val="-3"/>
        <w:sz w:val="18"/>
      </w:rPr>
      <w:t xml:space="preserve"> </w:t>
    </w:r>
    <w:r>
      <w:rPr>
        <w:sz w:val="18"/>
      </w:rPr>
      <w:t>de</w:t>
    </w:r>
    <w:r>
      <w:rPr>
        <w:spacing w:val="-4"/>
        <w:sz w:val="18"/>
      </w:rPr>
      <w:t xml:space="preserve"> </w:t>
    </w:r>
    <w:r>
      <w:rPr>
        <w:sz w:val="18"/>
      </w:rPr>
      <w:t>la</w:t>
    </w:r>
    <w:r>
      <w:rPr>
        <w:spacing w:val="-3"/>
        <w:sz w:val="18"/>
      </w:rPr>
      <w:t xml:space="preserve"> </w:t>
    </w:r>
    <w:r>
      <w:rPr>
        <w:sz w:val="18"/>
      </w:rPr>
      <w:t>Seine</w:t>
    </w:r>
    <w:r>
      <w:rPr>
        <w:spacing w:val="-3"/>
        <w:sz w:val="18"/>
      </w:rPr>
      <w:t xml:space="preserve"> </w:t>
    </w:r>
    <w:r>
      <w:rPr>
        <w:sz w:val="18"/>
      </w:rPr>
      <w:t>FEDER-FSE+</w:t>
    </w:r>
    <w:r>
      <w:rPr>
        <w:spacing w:val="-4"/>
        <w:sz w:val="18"/>
      </w:rPr>
      <w:t xml:space="preserve"> </w:t>
    </w:r>
    <w:r>
      <w:rPr>
        <w:sz w:val="18"/>
      </w:rPr>
      <w:t>2021-2027</w:t>
    </w:r>
  </w:p>
  <w:p w14:paraId="66866EAB" w14:textId="77777777" w:rsidR="00A63918" w:rsidRDefault="00A63918" w:rsidP="00A63918">
    <w:pPr>
      <w:spacing w:before="14" w:line="261" w:lineRule="auto"/>
      <w:ind w:left="20"/>
      <w:rPr>
        <w:sz w:val="18"/>
      </w:rPr>
    </w:pPr>
    <w:r>
      <w:rPr>
        <w:sz w:val="18"/>
      </w:rPr>
      <w:t>Chambre de commerce et d’industrie Paris Île-de-France</w:t>
    </w:r>
  </w:p>
  <w:p w14:paraId="5D324471" w14:textId="1F987F9C" w:rsidR="00A63918" w:rsidRPr="009D7C54" w:rsidRDefault="0063153C" w:rsidP="0063153C">
    <w:pPr>
      <w:spacing w:before="14" w:line="261" w:lineRule="auto"/>
      <w:ind w:left="20" w:right="-1134"/>
      <w:rPr>
        <w:rFonts w:ascii="Calibri" w:hAnsi="Calibri" w:cs="Calibri"/>
        <w:color w:val="242424"/>
        <w:sz w:val="18"/>
        <w:szCs w:val="18"/>
        <w:shd w:val="clear" w:color="auto" w:fill="FFFFFF"/>
      </w:rPr>
    </w:pPr>
    <w:r w:rsidRPr="009D7C54">
      <w:rPr>
        <w:color w:val="242424"/>
        <w:sz w:val="18"/>
        <w:szCs w:val="18"/>
        <w:bdr w:val="none" w:sz="0" w:space="0" w:color="auto" w:frame="1"/>
        <w:shd w:val="clear" w:color="auto" w:fill="FFFFFF"/>
      </w:rPr>
      <w:t>Appel à projets FSE+ 202</w:t>
    </w:r>
    <w:r w:rsidR="005F1C08">
      <w:rPr>
        <w:color w:val="242424"/>
        <w:sz w:val="18"/>
        <w:szCs w:val="18"/>
        <w:bdr w:val="none" w:sz="0" w:space="0" w:color="auto" w:frame="1"/>
        <w:shd w:val="clear" w:color="auto" w:fill="FFFFFF"/>
      </w:rPr>
      <w:t>5</w:t>
    </w:r>
    <w:r w:rsidRPr="009D7C54">
      <w:rPr>
        <w:color w:val="242424"/>
        <w:sz w:val="18"/>
        <w:szCs w:val="18"/>
        <w:bdr w:val="none" w:sz="0" w:space="0" w:color="auto" w:frame="1"/>
        <w:shd w:val="clear" w:color="auto" w:fill="FFFFFF"/>
      </w:rPr>
      <w:t xml:space="preserve"> "Entrepreneuriat féminin, Etudiant-entrepreneur et reprise/transmission d’activités " (OS 4.1)</w:t>
    </w:r>
    <w:r w:rsidRPr="009D7C54">
      <w:rPr>
        <w:rFonts w:ascii="Calibri" w:hAnsi="Calibri" w:cs="Calibri"/>
        <w:color w:val="242424"/>
        <w:sz w:val="18"/>
        <w:szCs w:val="18"/>
        <w:shd w:val="clear" w:color="auto" w:fill="FFFFFF"/>
      </w:rPr>
      <w:t xml:space="preserve"> </w:t>
    </w:r>
    <w:r w:rsidR="00A63918" w:rsidRPr="009D7C54">
      <w:rPr>
        <w:sz w:val="18"/>
        <w:szCs w:val="18"/>
      </w:rPr>
      <w:t xml:space="preserve">- </w:t>
    </w:r>
    <w:r w:rsidR="00A63918" w:rsidRPr="009D7C54">
      <w:rPr>
        <w:b/>
        <w:sz w:val="18"/>
        <w:szCs w:val="18"/>
      </w:rPr>
      <w:t>Annexe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21D4FA" w14:textId="77777777" w:rsidR="002256CD" w:rsidRDefault="002256CD" w:rsidP="002256CD">
      <w:r>
        <w:separator/>
      </w:r>
    </w:p>
  </w:footnote>
  <w:footnote w:type="continuationSeparator" w:id="0">
    <w:p w14:paraId="5F20B616" w14:textId="77777777" w:rsidR="002256CD" w:rsidRDefault="002256CD" w:rsidP="002256CD">
      <w:r>
        <w:continuationSeparator/>
      </w:r>
    </w:p>
  </w:footnote>
  <w:footnote w:id="1">
    <w:p w14:paraId="5D03503E" w14:textId="77777777" w:rsidR="002256CD" w:rsidRPr="004705CC" w:rsidRDefault="002256CD" w:rsidP="002256CD">
      <w:pPr>
        <w:pStyle w:val="Notedebasdepage"/>
        <w:jc w:val="both"/>
      </w:pPr>
      <w:r w:rsidRPr="004705CC">
        <w:rPr>
          <w:rStyle w:val="Appelnotedebasdep"/>
          <w:sz w:val="16"/>
          <w:szCs w:val="16"/>
        </w:rPr>
        <w:footnoteRef/>
      </w:r>
      <w:r w:rsidRPr="004705CC">
        <w:rPr>
          <w:sz w:val="16"/>
          <w:szCs w:val="16"/>
        </w:rPr>
        <w:t xml:space="preserve"> Entreprise au sens européen du terme (cf. définition d’une entreprise, Annexe I règlement n°651/2014 de la Commission européenne).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4133E39"/>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BB1897"/>
    <w:multiLevelType w:val="hybridMultilevel"/>
    <w:tmpl w:val="FC7844D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F3511D4"/>
    <w:multiLevelType w:val="hybridMultilevel"/>
    <w:tmpl w:val="8A3EF81E"/>
    <w:lvl w:ilvl="0" w:tplc="9566ECB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C3610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F577C37"/>
    <w:multiLevelType w:val="hybridMultilevel"/>
    <w:tmpl w:val="E6DC1940"/>
    <w:lvl w:ilvl="0" w:tplc="FBD818A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0D45B9"/>
    <w:multiLevelType w:val="hybridMultilevel"/>
    <w:tmpl w:val="334AF446"/>
    <w:lvl w:ilvl="0" w:tplc="040C0001">
      <w:start w:val="1"/>
      <w:numFmt w:val="bullet"/>
      <w:lvlText w:val=""/>
      <w:lvlJc w:val="left"/>
      <w:pPr>
        <w:ind w:left="901" w:hanging="360"/>
      </w:pPr>
      <w:rPr>
        <w:rFonts w:ascii="Symbol" w:hAnsi="Symbol" w:hint="default"/>
      </w:rPr>
    </w:lvl>
    <w:lvl w:ilvl="1" w:tplc="040C0003" w:tentative="1">
      <w:start w:val="1"/>
      <w:numFmt w:val="bullet"/>
      <w:lvlText w:val="o"/>
      <w:lvlJc w:val="left"/>
      <w:pPr>
        <w:ind w:left="1621" w:hanging="360"/>
      </w:pPr>
      <w:rPr>
        <w:rFonts w:ascii="Courier New" w:hAnsi="Courier New" w:cs="Courier New" w:hint="default"/>
      </w:rPr>
    </w:lvl>
    <w:lvl w:ilvl="2" w:tplc="040C0005" w:tentative="1">
      <w:start w:val="1"/>
      <w:numFmt w:val="bullet"/>
      <w:lvlText w:val=""/>
      <w:lvlJc w:val="left"/>
      <w:pPr>
        <w:ind w:left="2341" w:hanging="360"/>
      </w:pPr>
      <w:rPr>
        <w:rFonts w:ascii="Wingdings" w:hAnsi="Wingdings" w:hint="default"/>
      </w:rPr>
    </w:lvl>
    <w:lvl w:ilvl="3" w:tplc="040C0001" w:tentative="1">
      <w:start w:val="1"/>
      <w:numFmt w:val="bullet"/>
      <w:lvlText w:val=""/>
      <w:lvlJc w:val="left"/>
      <w:pPr>
        <w:ind w:left="3061" w:hanging="360"/>
      </w:pPr>
      <w:rPr>
        <w:rFonts w:ascii="Symbol" w:hAnsi="Symbol" w:hint="default"/>
      </w:rPr>
    </w:lvl>
    <w:lvl w:ilvl="4" w:tplc="040C0003" w:tentative="1">
      <w:start w:val="1"/>
      <w:numFmt w:val="bullet"/>
      <w:lvlText w:val="o"/>
      <w:lvlJc w:val="left"/>
      <w:pPr>
        <w:ind w:left="3781" w:hanging="360"/>
      </w:pPr>
      <w:rPr>
        <w:rFonts w:ascii="Courier New" w:hAnsi="Courier New" w:cs="Courier New" w:hint="default"/>
      </w:rPr>
    </w:lvl>
    <w:lvl w:ilvl="5" w:tplc="040C0005" w:tentative="1">
      <w:start w:val="1"/>
      <w:numFmt w:val="bullet"/>
      <w:lvlText w:val=""/>
      <w:lvlJc w:val="left"/>
      <w:pPr>
        <w:ind w:left="4501" w:hanging="360"/>
      </w:pPr>
      <w:rPr>
        <w:rFonts w:ascii="Wingdings" w:hAnsi="Wingdings" w:hint="default"/>
      </w:rPr>
    </w:lvl>
    <w:lvl w:ilvl="6" w:tplc="040C0001" w:tentative="1">
      <w:start w:val="1"/>
      <w:numFmt w:val="bullet"/>
      <w:lvlText w:val=""/>
      <w:lvlJc w:val="left"/>
      <w:pPr>
        <w:ind w:left="5221" w:hanging="360"/>
      </w:pPr>
      <w:rPr>
        <w:rFonts w:ascii="Symbol" w:hAnsi="Symbol" w:hint="default"/>
      </w:rPr>
    </w:lvl>
    <w:lvl w:ilvl="7" w:tplc="040C0003" w:tentative="1">
      <w:start w:val="1"/>
      <w:numFmt w:val="bullet"/>
      <w:lvlText w:val="o"/>
      <w:lvlJc w:val="left"/>
      <w:pPr>
        <w:ind w:left="5941" w:hanging="360"/>
      </w:pPr>
      <w:rPr>
        <w:rFonts w:ascii="Courier New" w:hAnsi="Courier New" w:cs="Courier New" w:hint="default"/>
      </w:rPr>
    </w:lvl>
    <w:lvl w:ilvl="8" w:tplc="040C0005" w:tentative="1">
      <w:start w:val="1"/>
      <w:numFmt w:val="bullet"/>
      <w:lvlText w:val=""/>
      <w:lvlJc w:val="left"/>
      <w:pPr>
        <w:ind w:left="6661" w:hanging="360"/>
      </w:pPr>
      <w:rPr>
        <w:rFonts w:ascii="Wingdings" w:hAnsi="Wingdings" w:hint="default"/>
      </w:rPr>
    </w:lvl>
  </w:abstractNum>
  <w:abstractNum w:abstractNumId="6" w15:restartNumberingAfterBreak="0">
    <w:nsid w:val="245805EF"/>
    <w:multiLevelType w:val="hybridMultilevel"/>
    <w:tmpl w:val="5DAAD4EC"/>
    <w:lvl w:ilvl="0" w:tplc="48B002C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99B05A4"/>
    <w:multiLevelType w:val="hybridMultilevel"/>
    <w:tmpl w:val="03DA306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C62149D"/>
    <w:multiLevelType w:val="hybridMultilevel"/>
    <w:tmpl w:val="EAF8E738"/>
    <w:lvl w:ilvl="0" w:tplc="0BE0F0CA">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C8419B3"/>
    <w:multiLevelType w:val="hybridMultilevel"/>
    <w:tmpl w:val="27FA10DE"/>
    <w:lvl w:ilvl="0" w:tplc="A066DE6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61C30A2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782D34C6"/>
    <w:multiLevelType w:val="hybridMultilevel"/>
    <w:tmpl w:val="5DDE643E"/>
    <w:lvl w:ilvl="0" w:tplc="A53ED88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24414849">
    <w:abstractNumId w:val="8"/>
  </w:num>
  <w:num w:numId="2" w16cid:durableId="787243702">
    <w:abstractNumId w:val="11"/>
  </w:num>
  <w:num w:numId="3" w16cid:durableId="1051539309">
    <w:abstractNumId w:val="2"/>
  </w:num>
  <w:num w:numId="4" w16cid:durableId="356857442">
    <w:abstractNumId w:val="9"/>
  </w:num>
  <w:num w:numId="5" w16cid:durableId="531186757">
    <w:abstractNumId w:val="6"/>
  </w:num>
  <w:num w:numId="6" w16cid:durableId="2108455156">
    <w:abstractNumId w:val="4"/>
  </w:num>
  <w:num w:numId="7" w16cid:durableId="1357659314">
    <w:abstractNumId w:val="0"/>
  </w:num>
  <w:num w:numId="8" w16cid:durableId="1440176337">
    <w:abstractNumId w:val="3"/>
  </w:num>
  <w:num w:numId="9" w16cid:durableId="564991518">
    <w:abstractNumId w:val="10"/>
  </w:num>
  <w:num w:numId="10" w16cid:durableId="382562288">
    <w:abstractNumId w:val="5"/>
  </w:num>
  <w:num w:numId="11" w16cid:durableId="1178275265">
    <w:abstractNumId w:val="7"/>
  </w:num>
  <w:num w:numId="12" w16cid:durableId="14030661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56CD"/>
    <w:rsid w:val="00026BDB"/>
    <w:rsid w:val="000434F2"/>
    <w:rsid w:val="000A3EDF"/>
    <w:rsid w:val="001800BC"/>
    <w:rsid w:val="001A5E72"/>
    <w:rsid w:val="001F5B64"/>
    <w:rsid w:val="002256CD"/>
    <w:rsid w:val="004F08D3"/>
    <w:rsid w:val="005A0F05"/>
    <w:rsid w:val="005F1C08"/>
    <w:rsid w:val="006002A6"/>
    <w:rsid w:val="0063153C"/>
    <w:rsid w:val="007F3E26"/>
    <w:rsid w:val="00992E13"/>
    <w:rsid w:val="009D7C54"/>
    <w:rsid w:val="00A62F71"/>
    <w:rsid w:val="00A63918"/>
    <w:rsid w:val="00A94898"/>
    <w:rsid w:val="00AB6633"/>
    <w:rsid w:val="00AF52A0"/>
    <w:rsid w:val="00C0606D"/>
    <w:rsid w:val="00C4413B"/>
    <w:rsid w:val="00D93CFD"/>
    <w:rsid w:val="00DA70F3"/>
    <w:rsid w:val="00F512D7"/>
    <w:rsid w:val="00F57B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639FD"/>
  <w15:chartTrackingRefBased/>
  <w15:docId w15:val="{5CEBEC5C-0A58-42C5-AB85-DFB807933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56CD"/>
  </w:style>
  <w:style w:type="paragraph" w:styleId="Titre2">
    <w:name w:val="heading 2"/>
    <w:basedOn w:val="Normal"/>
    <w:next w:val="Normal"/>
    <w:link w:val="Titre2Car"/>
    <w:uiPriority w:val="9"/>
    <w:unhideWhenUsed/>
    <w:qFormat/>
    <w:rsid w:val="002256C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2256CD"/>
    <w:pPr>
      <w:keepNext/>
      <w:keepLines/>
      <w:spacing w:before="40"/>
      <w:outlineLvl w:val="2"/>
    </w:pPr>
    <w:rPr>
      <w:rFonts w:asciiTheme="majorHAnsi" w:eastAsiaTheme="majorEastAsia" w:hAnsiTheme="majorHAnsi" w:cstheme="majorBidi"/>
      <w:color w:val="1F3763"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2256CD"/>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2256CD"/>
    <w:rPr>
      <w:rFonts w:asciiTheme="majorHAnsi" w:eastAsiaTheme="majorEastAsia" w:hAnsiTheme="majorHAnsi" w:cstheme="majorBidi"/>
      <w:color w:val="1F3763" w:themeColor="accent1" w:themeShade="7F"/>
    </w:rPr>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L"/>
    <w:basedOn w:val="Normal"/>
    <w:link w:val="ParagraphedelisteCar"/>
    <w:uiPriority w:val="34"/>
    <w:qFormat/>
    <w:rsid w:val="002256CD"/>
    <w:pPr>
      <w:ind w:left="720"/>
      <w:contextualSpacing/>
    </w:p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L Car"/>
    <w:link w:val="Paragraphedeliste"/>
    <w:uiPriority w:val="34"/>
    <w:qFormat/>
    <w:locked/>
    <w:rsid w:val="002256CD"/>
  </w:style>
  <w:style w:type="table" w:styleId="Grilledutableau">
    <w:name w:val="Table Grid"/>
    <w:basedOn w:val="TableauNormal"/>
    <w:uiPriority w:val="39"/>
    <w:rsid w:val="002256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2256CD"/>
  </w:style>
  <w:style w:type="paragraph" w:styleId="Notedebasdepage">
    <w:name w:val="footnote text"/>
    <w:basedOn w:val="Normal"/>
    <w:link w:val="NotedebasdepageCar"/>
    <w:uiPriority w:val="99"/>
    <w:semiHidden/>
    <w:unhideWhenUsed/>
    <w:rsid w:val="002256CD"/>
    <w:rPr>
      <w:sz w:val="20"/>
      <w:szCs w:val="20"/>
    </w:rPr>
  </w:style>
  <w:style w:type="character" w:customStyle="1" w:styleId="NotedebasdepageCar">
    <w:name w:val="Note de bas de page Car"/>
    <w:basedOn w:val="Policepardfaut"/>
    <w:link w:val="Notedebasdepage"/>
    <w:uiPriority w:val="99"/>
    <w:semiHidden/>
    <w:rsid w:val="002256CD"/>
    <w:rPr>
      <w:sz w:val="20"/>
      <w:szCs w:val="20"/>
    </w:rPr>
  </w:style>
  <w:style w:type="character" w:styleId="Appelnotedebasdep">
    <w:name w:val="footnote reference"/>
    <w:uiPriority w:val="99"/>
    <w:unhideWhenUsed/>
    <w:rsid w:val="002256CD"/>
    <w:rPr>
      <w:vertAlign w:val="superscript"/>
    </w:rPr>
  </w:style>
  <w:style w:type="paragraph" w:styleId="En-tte">
    <w:name w:val="header"/>
    <w:basedOn w:val="Normal"/>
    <w:link w:val="En-tteCar"/>
    <w:uiPriority w:val="99"/>
    <w:unhideWhenUsed/>
    <w:rsid w:val="00C0606D"/>
    <w:pPr>
      <w:widowControl w:val="0"/>
      <w:tabs>
        <w:tab w:val="center" w:pos="4536"/>
        <w:tab w:val="right" w:pos="9072"/>
      </w:tabs>
      <w:autoSpaceDE w:val="0"/>
      <w:autoSpaceDN w:val="0"/>
    </w:pPr>
    <w:rPr>
      <w:rFonts w:eastAsia="Arial"/>
      <w:sz w:val="22"/>
      <w:szCs w:val="22"/>
    </w:rPr>
  </w:style>
  <w:style w:type="character" w:customStyle="1" w:styleId="En-tteCar">
    <w:name w:val="En-tête Car"/>
    <w:basedOn w:val="Policepardfaut"/>
    <w:link w:val="En-tte"/>
    <w:uiPriority w:val="99"/>
    <w:rsid w:val="00C0606D"/>
    <w:rPr>
      <w:rFonts w:eastAsia="Arial"/>
      <w:sz w:val="22"/>
      <w:szCs w:val="22"/>
    </w:rPr>
  </w:style>
  <w:style w:type="table" w:customStyle="1" w:styleId="Grilledutableau1">
    <w:name w:val="Grille du tableau1"/>
    <w:basedOn w:val="TableauNormal"/>
    <w:next w:val="Grilledutableau"/>
    <w:rsid w:val="00C0606D"/>
    <w:pPr>
      <w:widowControl w:val="0"/>
      <w:autoSpaceDE w:val="0"/>
      <w:autoSpaceDN w:val="0"/>
    </w:pPr>
    <w:rPr>
      <w:rFonts w:ascii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A63918"/>
    <w:pPr>
      <w:tabs>
        <w:tab w:val="center" w:pos="4536"/>
        <w:tab w:val="right" w:pos="9072"/>
      </w:tabs>
    </w:pPr>
  </w:style>
  <w:style w:type="character" w:customStyle="1" w:styleId="PieddepageCar">
    <w:name w:val="Pied de page Car"/>
    <w:basedOn w:val="Policepardfaut"/>
    <w:link w:val="Pieddepage"/>
    <w:uiPriority w:val="99"/>
    <w:rsid w:val="00A63918"/>
  </w:style>
  <w:style w:type="paragraph" w:customStyle="1" w:styleId="Default">
    <w:name w:val="Default"/>
    <w:rsid w:val="006002A6"/>
    <w:pPr>
      <w:autoSpaceDE w:val="0"/>
      <w:autoSpaceDN w:val="0"/>
      <w:adjustRightInd w:val="0"/>
    </w:pPr>
    <w:rPr>
      <w:color w:val="000000"/>
    </w:rPr>
  </w:style>
  <w:style w:type="character" w:styleId="Marquedecommentaire">
    <w:name w:val="annotation reference"/>
    <w:basedOn w:val="Policepardfaut"/>
    <w:uiPriority w:val="99"/>
    <w:semiHidden/>
    <w:unhideWhenUsed/>
    <w:rsid w:val="00F512D7"/>
    <w:rPr>
      <w:rFonts w:cs="Times New Roman"/>
      <w:sz w:val="16"/>
      <w:szCs w:val="16"/>
    </w:rPr>
  </w:style>
  <w:style w:type="paragraph" w:styleId="Commentaire">
    <w:name w:val="annotation text"/>
    <w:basedOn w:val="Normal"/>
    <w:link w:val="CommentaireCar"/>
    <w:uiPriority w:val="99"/>
    <w:unhideWhenUsed/>
    <w:rsid w:val="00F512D7"/>
    <w:rPr>
      <w:rFonts w:eastAsia="Times New Roman"/>
      <w:sz w:val="20"/>
      <w:szCs w:val="20"/>
    </w:rPr>
  </w:style>
  <w:style w:type="character" w:customStyle="1" w:styleId="CommentaireCar">
    <w:name w:val="Commentaire Car"/>
    <w:basedOn w:val="Policepardfaut"/>
    <w:link w:val="Commentaire"/>
    <w:uiPriority w:val="99"/>
    <w:rsid w:val="00F512D7"/>
    <w:rPr>
      <w:rFonts w:eastAsia="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sv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5</Pages>
  <Words>2251</Words>
  <Characters>12384</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PIEFFET Adrienne</dc:creator>
  <cp:keywords/>
  <dc:description/>
  <cp:lastModifiedBy>PARCINEAU Herve</cp:lastModifiedBy>
  <cp:revision>13</cp:revision>
  <dcterms:created xsi:type="dcterms:W3CDTF">2023-10-17T10:15:00Z</dcterms:created>
  <dcterms:modified xsi:type="dcterms:W3CDTF">2025-10-14T14:33:00Z</dcterms:modified>
</cp:coreProperties>
</file>